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仿宋" w:hAnsi="仿宋" w:eastAsia="仿宋" w:cs="仿宋"/>
          <w:b/>
          <w:bCs/>
          <w:kern w:val="0"/>
          <w:sz w:val="48"/>
          <w:szCs w:val="48"/>
        </w:rPr>
      </w:pPr>
      <w:r>
        <w:rPr>
          <w:rFonts w:hint="eastAsia" w:ascii="宋体" w:hAnsi="宋体" w:eastAsia="宋体" w:cs="宋体"/>
          <w:b/>
          <w:bCs/>
          <w:sz w:val="44"/>
          <w:szCs w:val="44"/>
        </w:rPr>
        <w:t xml:space="preserve"> </w:t>
      </w:r>
      <w:r>
        <w:rPr>
          <w:rFonts w:hint="eastAsia" w:ascii="仿宋" w:hAnsi="仿宋" w:eastAsia="仿宋" w:cs="仿宋"/>
          <w:b/>
          <w:bCs/>
          <w:kern w:val="0"/>
          <w:sz w:val="48"/>
          <w:szCs w:val="48"/>
          <w:lang w:val="en-US" w:eastAsia="zh-CN"/>
        </w:rPr>
        <w:t>2021</w:t>
      </w:r>
      <w:r>
        <w:rPr>
          <w:rFonts w:hint="eastAsia" w:ascii="仿宋" w:hAnsi="仿宋" w:eastAsia="仿宋" w:cs="仿宋"/>
          <w:b/>
          <w:bCs/>
          <w:kern w:val="0"/>
          <w:sz w:val="48"/>
          <w:szCs w:val="48"/>
        </w:rPr>
        <w:t>年</w:t>
      </w:r>
      <w:r>
        <w:rPr>
          <w:rFonts w:hint="default" w:ascii="仿宋" w:hAnsi="仿宋" w:eastAsia="仿宋" w:cs="仿宋"/>
          <w:b/>
          <w:bCs/>
          <w:kern w:val="0"/>
          <w:sz w:val="48"/>
          <w:szCs w:val="48"/>
        </w:rPr>
        <w:t>开福区城市人居环境局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一、部门基本概况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二、部门预算单位构成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三、部门收支总体情况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四、一般公共预算拨款支出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五、政府性基金预算支出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color w:val="auto"/>
          <w:kern w:val="0"/>
          <w:sz w:val="32"/>
          <w:szCs w:val="32"/>
        </w:rPr>
      </w:pPr>
      <w:r>
        <w:rPr>
          <w:rFonts w:hint="eastAsia" w:ascii="仿宋" w:hAnsi="仿宋" w:eastAsia="仿宋" w:cs="仿宋"/>
          <w:i w:val="0"/>
          <w:iCs w:val="0"/>
          <w:caps w:val="0"/>
          <w:color w:val="auto"/>
          <w:spacing w:val="0"/>
          <w:sz w:val="32"/>
          <w:szCs w:val="32"/>
          <w:shd w:val="clear" w:fill="FFFFFF"/>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4、财政拨款收支</w:t>
      </w:r>
      <w:r>
        <w:rPr>
          <w:rFonts w:hint="eastAsia" w:ascii="仿宋" w:hAnsi="仿宋" w:eastAsia="仿宋" w:cs="仿宋"/>
          <w:sz w:val="32"/>
          <w:szCs w:val="32"/>
          <w:lang w:val="en-US" w:eastAsia="zh-CN"/>
        </w:rPr>
        <w:t>总</w:t>
      </w:r>
      <w:r>
        <w:rPr>
          <w:rFonts w:hint="eastAsia" w:ascii="仿宋" w:hAnsi="仿宋" w:eastAsia="仿宋" w:cs="仿宋"/>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eastAsia="仿宋_GB2312"/>
          <w:bCs/>
          <w:kern w:val="0"/>
          <w:sz w:val="32"/>
          <w:szCs w:val="32"/>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bCs w:val="0"/>
          <w:kern w:val="0"/>
          <w:sz w:val="44"/>
          <w:szCs w:val="44"/>
        </w:rPr>
        <w:t xml:space="preserve">第一部分 </w:t>
      </w:r>
      <w:r>
        <w:rPr>
          <w:rFonts w:hint="eastAsia" w:ascii="黑体" w:hAnsi="黑体" w:eastAsia="黑体" w:cs="黑体"/>
          <w:b/>
          <w:bCs w:val="0"/>
          <w:kern w:val="0"/>
          <w:sz w:val="44"/>
          <w:szCs w:val="44"/>
          <w:lang w:val="en-US" w:eastAsia="zh-CN"/>
        </w:rPr>
        <w:t>2021年</w:t>
      </w:r>
      <w:r>
        <w:rPr>
          <w:rFonts w:hint="eastAsia" w:ascii="黑体" w:hAnsi="黑体" w:eastAsia="黑体" w:cs="黑体"/>
          <w:b/>
          <w:bCs w:val="0"/>
          <w:kern w:val="0"/>
          <w:sz w:val="44"/>
          <w:szCs w:val="44"/>
        </w:rPr>
        <w:t>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sz w:val="32"/>
          <w:szCs w:val="32"/>
        </w:rPr>
      </w:pPr>
      <w:r>
        <w:rPr>
          <w:rFonts w:hint="eastAsia" w:ascii="仿宋" w:hAnsi="仿宋" w:eastAsia="仿宋" w:cs="仿宋"/>
          <w:b/>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1、贯彻落实国家、省、市有关优化城市人居环境改善（包括历史文化名城保护、近现代建筑〈历史建筑〉保护、历史街区改造、棚户区改造、城中村改造、危旧房改造、老旧小区改造和建筑微改造、城市房屋征收补偿等，下同）的方针政策和法律、法规、规章；拟订区城市人居环境规范性文件草案，经批准后组织实施。</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2、研究拟订全区优化城市人居环境总体发展战略，中长期规划、年度实施计划、政策措施、操作标准、技术规范，并组织实施；参与全区城市更新专项规划的编制，负责经批准的城市更新专项规划组织实施；指导全区城市人居环境有关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3、负责历史文化名城保护、历史街区的保护和修缮工作；参与历史文化名城保护专项规划的编制，负责经批准的历史文化名城保护专项规划组织实施；负责历史文化街区、历史地段区、近现代建筑（历史建筑）的申报、认定和参与相关详细性规划编制工作，参与历史文化街区、历史地段区范围内的建设项目审查，参与历史文化名城相关规划的审查。负责上述所涉工程项目的组织实施。</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4、负责全区棚户区改造工作，负责全区棚户区改造计划编制、立项、安置补贴审核发放、资金结算、资产归集工作，负责政府财政资金投入的棚户区改造项目组织实施工作。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5、负责全区城中村改造工作，负责全区城中村改造计划编制、立项、组织实施、竣工验收审核工作。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6、负责全区老旧小区改造、建筑微改造工作，负责老旧小区改造、建筑微改造项目的计划编制、立项和组织实施工作。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7、负责全区危旧房改造工作，负责全区危旧房屋改造项目备案、项目建设和补助工作，参与相关验收评审。</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8、负责管理和指导全区国有土地上的房屋征收和补偿工作。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9、负责全区人居环境改善资金的统筹管理、监督和使用，负责拟订年度专项资金安排计划、分配划拨、资金结算、资产归集、监督管理等工作，负责全区优化人居环境项目利用国家政策性资金的审核工作。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10、负责指导、检查全区范围内历史街区改造、棚户区改造、城中村改造、危旧房改造、老旧小区改造和建筑微改造、城市房屋征收补偿等职责范围内的安全生产工作。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11、完成区委、区政府和上级部门交办的其他任务。</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sz w:val="32"/>
          <w:szCs w:val="32"/>
        </w:rPr>
      </w:pPr>
      <w:r>
        <w:rPr>
          <w:rFonts w:hint="eastAsia" w:ascii="仿宋" w:hAnsi="仿宋" w:eastAsia="仿宋" w:cs="仿宋"/>
          <w:b/>
          <w:sz w:val="32"/>
          <w:szCs w:val="32"/>
        </w:rPr>
        <w:t>（二）机构设置</w:t>
      </w:r>
    </w:p>
    <w:p>
      <w:pPr>
        <w:widowControl/>
        <w:spacing w:line="600" w:lineRule="exact"/>
        <w:ind w:firstLine="627" w:firstLineChars="196"/>
        <w:jc w:val="left"/>
        <w:rPr>
          <w:rFonts w:ascii="仿宋" w:hAnsi="仿宋" w:eastAsia="仿宋" w:cs="仿宋"/>
          <w:sz w:val="32"/>
          <w:szCs w:val="32"/>
        </w:rPr>
      </w:pPr>
      <w:r>
        <w:rPr>
          <w:rFonts w:hint="eastAsia" w:ascii="仿宋" w:hAnsi="仿宋" w:eastAsia="仿宋" w:cs="仿宋"/>
          <w:sz w:val="32"/>
          <w:szCs w:val="32"/>
        </w:rPr>
        <w:t>本部门由1个行政单位组成，二级机构为长沙市开福区城市房屋征收和补偿管理办公室。内设机构分别为：办公室、项目管理科、棚户区和城中村改造管理科、老旧小区和危旧房改造管理科、历史文化名称保护管理科。</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w:t>
      </w:r>
      <w:r>
        <w:rPr>
          <w:rFonts w:hint="eastAsia" w:ascii="仿宋" w:hAnsi="仿宋" w:eastAsia="仿宋" w:cs="仿宋"/>
          <w:sz w:val="32"/>
          <w:szCs w:val="32"/>
        </w:rPr>
        <w:t>人员情况。本部门编制数12人，在职人数18人，其中：在编人数9人；政府雇员1人；编外长期聘用人员8人。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本部门预算为汇总预算，纳入编制范围的预算单位包括：</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本部门由1个行政单位组成，二级机构为长沙市开福区城市房屋征收和补偿管理办公室。纳入2021年部门预算编制范围的为长沙市开福区城市人居环境局本级和二级机构长沙市开福区城市房屋征收和补偿管理办公室（本级和二级机构均为独立核算）。</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部门预算情况：收入既包括一般公共预算收入、政府性基金收入和国有资本经营预算收入，又包括行政单位经营服务等收入；支出既包括局机关单位基本运行的经费，也包括开福区人居环境局归口管理的专项经费。</w:t>
      </w:r>
    </w:p>
    <w:p>
      <w:pPr>
        <w:keepNext w:val="0"/>
        <w:keepLines w:val="0"/>
        <w:pageBreakBefore w:val="0"/>
        <w:widowControl/>
        <w:kinsoku/>
        <w:wordWrap/>
        <w:overflowPunct/>
        <w:topLinePunct w:val="0"/>
        <w:autoSpaceDE/>
        <w:autoSpaceDN/>
        <w:bidi w:val="0"/>
        <w:adjustRightInd/>
        <w:snapToGrid/>
        <w:spacing w:line="600" w:lineRule="exact"/>
        <w:ind w:firstLine="630" w:firstLineChars="196"/>
        <w:textAlignment w:val="auto"/>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b/>
          <w:sz w:val="32"/>
          <w:szCs w:val="32"/>
        </w:rPr>
        <w:t>（一）收入预算：</w:t>
      </w:r>
      <w:r>
        <w:rPr>
          <w:rFonts w:hint="eastAsia" w:ascii="仿宋" w:hAnsi="仿宋" w:eastAsia="仿宋" w:cs="仿宋"/>
          <w:b w:val="0"/>
          <w:bCs w:val="0"/>
          <w:sz w:val="32"/>
          <w:szCs w:val="32"/>
        </w:rPr>
        <w:t>包括一般公共预算、政府性基金、国有资本经营预算等财政拨款收入，以及经营收入、事业收入等单位资金。</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rPr>
        <w:t>年本部门收入预算</w:t>
      </w:r>
      <w:r>
        <w:rPr>
          <w:rFonts w:hint="eastAsia" w:ascii="仿宋" w:hAnsi="仿宋" w:eastAsia="仿宋" w:cs="仿宋"/>
          <w:b w:val="0"/>
          <w:bCs w:val="0"/>
          <w:sz w:val="32"/>
          <w:szCs w:val="32"/>
          <w:lang w:val="en-US" w:eastAsia="zh-CN"/>
        </w:rPr>
        <w:t>516.63</w:t>
      </w:r>
      <w:r>
        <w:rPr>
          <w:rFonts w:hint="eastAsia" w:ascii="仿宋" w:hAnsi="仿宋" w:eastAsia="仿宋" w:cs="仿宋"/>
          <w:b w:val="0"/>
          <w:bCs w:val="0"/>
          <w:sz w:val="32"/>
          <w:szCs w:val="32"/>
        </w:rPr>
        <w:t>万元，其中</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一般公共预算拨款</w:t>
      </w:r>
      <w:r>
        <w:rPr>
          <w:rFonts w:hint="eastAsia" w:ascii="仿宋" w:hAnsi="仿宋" w:eastAsia="仿宋" w:cs="仿宋"/>
          <w:b w:val="0"/>
          <w:bCs w:val="0"/>
          <w:sz w:val="32"/>
          <w:szCs w:val="32"/>
          <w:lang w:val="en-US" w:eastAsia="zh-CN"/>
        </w:rPr>
        <w:t>516.63</w:t>
      </w:r>
      <w:r>
        <w:rPr>
          <w:rFonts w:hint="eastAsia" w:ascii="仿宋" w:hAnsi="仿宋" w:eastAsia="仿宋" w:cs="仿宋"/>
          <w:b w:val="0"/>
          <w:bCs w:val="0"/>
          <w:sz w:val="32"/>
          <w:szCs w:val="32"/>
        </w:rPr>
        <w:t>万元，政府性基金预算拨款</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万元，国有资本经营预算拨款</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万元，纳入专户管理的非税收入</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万元，上年结转结余</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万元。收入较去年减少</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600.05</w:t>
      </w:r>
      <w:r>
        <w:rPr>
          <w:rFonts w:hint="eastAsia" w:ascii="仿宋" w:hAnsi="仿宋" w:eastAsia="仿宋" w:cs="仿宋"/>
          <w:b w:val="0"/>
          <w:bCs w:val="0"/>
          <w:color w:val="000000" w:themeColor="text1"/>
          <w:sz w:val="32"/>
          <w:szCs w:val="32"/>
          <w:highlight w:val="none"/>
          <w14:textFill>
            <w14:solidFill>
              <w14:schemeClr w14:val="tx1"/>
            </w14:solidFill>
          </w14:textFill>
        </w:rPr>
        <w:t>万元，</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下降53.74%，</w:t>
      </w:r>
      <w:r>
        <w:rPr>
          <w:rFonts w:hint="eastAsia" w:ascii="仿宋" w:hAnsi="仿宋" w:eastAsia="仿宋" w:cs="仿宋"/>
          <w:b w:val="0"/>
          <w:bCs w:val="0"/>
          <w:color w:val="000000" w:themeColor="text1"/>
          <w:sz w:val="32"/>
          <w:szCs w:val="32"/>
          <w:highlight w:val="none"/>
          <w14:textFill>
            <w14:solidFill>
              <w14:schemeClr w14:val="tx1"/>
            </w14:solidFill>
          </w14:textFill>
        </w:rPr>
        <w:t>主要是公共专项、工作经费的减少。</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val="0"/>
          <w:bCs/>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（二）支出预算：</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2021</w:t>
      </w:r>
      <w:r>
        <w:rPr>
          <w:rFonts w:hint="eastAsia" w:ascii="仿宋" w:hAnsi="仿宋" w:eastAsia="仿宋" w:cs="仿宋"/>
          <w:b w:val="0"/>
          <w:bCs/>
          <w:color w:val="000000" w:themeColor="text1"/>
          <w:sz w:val="32"/>
          <w:szCs w:val="32"/>
          <w:highlight w:val="none"/>
          <w14:textFill>
            <w14:solidFill>
              <w14:schemeClr w14:val="tx1"/>
            </w14:solidFill>
          </w14:textFill>
        </w:rPr>
        <w:t>年本部门支出预算</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516.63</w:t>
      </w:r>
      <w:r>
        <w:rPr>
          <w:rFonts w:hint="eastAsia" w:ascii="仿宋" w:hAnsi="仿宋" w:eastAsia="仿宋" w:cs="仿宋"/>
          <w:b w:val="0"/>
          <w:bCs/>
          <w:color w:val="000000" w:themeColor="text1"/>
          <w:sz w:val="32"/>
          <w:szCs w:val="32"/>
          <w:highlight w:val="none"/>
          <w14:textFill>
            <w14:solidFill>
              <w14:schemeClr w14:val="tx1"/>
            </w14:solidFill>
          </w14:textFill>
        </w:rPr>
        <w:t>万元，其中，</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城乡社区支出489.09万元</w:t>
      </w:r>
      <w:r>
        <w:rPr>
          <w:rFonts w:hint="eastAsia" w:ascii="仿宋" w:hAnsi="仿宋" w:eastAsia="仿宋" w:cs="仿宋"/>
          <w:b w:val="0"/>
          <w:bCs/>
          <w:color w:val="000000" w:themeColor="text1"/>
          <w:sz w:val="32"/>
          <w:szCs w:val="32"/>
          <w:highlight w:val="none"/>
          <w14:textFill>
            <w14:solidFill>
              <w14:schemeClr w14:val="tx1"/>
            </w14:solidFill>
          </w14:textFill>
        </w:rPr>
        <w:t>，</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住房保障支出27.53万元，</w:t>
      </w:r>
      <w:r>
        <w:rPr>
          <w:rFonts w:hint="eastAsia" w:ascii="仿宋" w:hAnsi="仿宋" w:eastAsia="仿宋" w:cs="仿宋"/>
          <w:b w:val="0"/>
          <w:bCs/>
          <w:color w:val="000000" w:themeColor="text1"/>
          <w:sz w:val="32"/>
          <w:szCs w:val="32"/>
          <w:highlight w:val="none"/>
          <w14:textFill>
            <w14:solidFill>
              <w14:schemeClr w14:val="tx1"/>
            </w14:solidFill>
          </w14:textFill>
        </w:rPr>
        <w:t>支出较去年减少</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600.05</w:t>
      </w:r>
      <w:r>
        <w:rPr>
          <w:rFonts w:hint="eastAsia" w:ascii="仿宋" w:hAnsi="仿宋" w:eastAsia="仿宋" w:cs="仿宋"/>
          <w:b w:val="0"/>
          <w:bCs/>
          <w:color w:val="000000" w:themeColor="text1"/>
          <w:sz w:val="32"/>
          <w:szCs w:val="32"/>
          <w:highlight w:val="none"/>
          <w14:textFill>
            <w14:solidFill>
              <w14:schemeClr w14:val="tx1"/>
            </w14:solidFill>
          </w14:textFill>
        </w:rPr>
        <w:t>万元，</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下降53.74%，</w:t>
      </w:r>
      <w:r>
        <w:rPr>
          <w:rFonts w:hint="eastAsia" w:ascii="仿宋" w:hAnsi="仿宋" w:eastAsia="仿宋" w:cs="仿宋"/>
          <w:b w:val="0"/>
          <w:bCs/>
          <w:color w:val="000000" w:themeColor="text1"/>
          <w:sz w:val="32"/>
          <w:szCs w:val="32"/>
          <w:highlight w:val="none"/>
          <w14:textFill>
            <w14:solidFill>
              <w14:schemeClr w14:val="tx1"/>
            </w14:solidFill>
          </w14:textFill>
        </w:rPr>
        <w:t>主要是</w:t>
      </w:r>
      <w:r>
        <w:rPr>
          <w:rFonts w:hint="eastAsia" w:ascii="仿宋" w:hAnsi="仿宋" w:eastAsia="仿宋" w:cs="仿宋"/>
          <w:b w:val="0"/>
          <w:bCs w:val="0"/>
          <w:color w:val="000000" w:themeColor="text1"/>
          <w:sz w:val="32"/>
          <w:szCs w:val="32"/>
          <w:highlight w:val="none"/>
          <w14:textFill>
            <w14:solidFill>
              <w14:schemeClr w14:val="tx1"/>
            </w14:solidFill>
          </w14:textFill>
        </w:rPr>
        <w:t>公共专项、工作经费的减少</w:t>
      </w:r>
      <w:r>
        <w:rPr>
          <w:rFonts w:hint="eastAsia" w:ascii="仿宋" w:hAnsi="仿宋" w:eastAsia="仿宋" w:cs="仿宋"/>
          <w:b w:val="0"/>
          <w:bCs/>
          <w:color w:val="000000" w:themeColor="text1"/>
          <w:sz w:val="32"/>
          <w:szCs w:val="32"/>
          <w:highlight w:val="none"/>
          <w14:textFill>
            <w14:solidFill>
              <w14:schemeClr w14:val="tx1"/>
            </w14:solidFill>
          </w14:textFill>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2021</w:t>
      </w:r>
      <w:r>
        <w:rPr>
          <w:rFonts w:hint="eastAsia" w:ascii="仿宋" w:hAnsi="仿宋" w:eastAsia="仿宋" w:cs="仿宋"/>
          <w:color w:val="000000" w:themeColor="text1"/>
          <w:sz w:val="32"/>
          <w:szCs w:val="32"/>
          <w:highlight w:val="none"/>
          <w14:textFill>
            <w14:solidFill>
              <w14:schemeClr w14:val="tx1"/>
            </w14:solidFill>
          </w14:textFill>
        </w:rPr>
        <w:t>年本部门一般公共预算拨款支出预算</w:t>
      </w:r>
      <w:r>
        <w:rPr>
          <w:rFonts w:hint="eastAsia" w:ascii="仿宋" w:hAnsi="仿宋" w:eastAsia="仿宋" w:cs="仿宋"/>
          <w:color w:val="000000" w:themeColor="text1"/>
          <w:sz w:val="32"/>
          <w:szCs w:val="32"/>
          <w:highlight w:val="none"/>
          <w:lang w:val="en-US" w:eastAsia="zh-CN"/>
          <w14:textFill>
            <w14:solidFill>
              <w14:schemeClr w14:val="tx1"/>
            </w14:solidFill>
          </w14:textFill>
        </w:rPr>
        <w:t>516.63</w:t>
      </w:r>
      <w:r>
        <w:rPr>
          <w:rFonts w:hint="eastAsia" w:ascii="仿宋" w:hAnsi="仿宋" w:eastAsia="仿宋" w:cs="仿宋"/>
          <w:color w:val="000000" w:themeColor="text1"/>
          <w:sz w:val="32"/>
          <w:szCs w:val="32"/>
          <w:highlight w:val="none"/>
          <w14:textFill>
            <w14:solidFill>
              <w14:schemeClr w14:val="tx1"/>
            </w14:solidFill>
          </w14:textFill>
        </w:rPr>
        <w:t>万元，其中，</w:t>
      </w:r>
      <w:r>
        <w:rPr>
          <w:rFonts w:hint="eastAsia" w:ascii="仿宋" w:hAnsi="仿宋" w:eastAsia="仿宋" w:cs="仿宋"/>
          <w:color w:val="000000" w:themeColor="text1"/>
          <w:sz w:val="32"/>
          <w:szCs w:val="32"/>
          <w:highlight w:val="none"/>
          <w:lang w:val="en-US" w:eastAsia="zh-CN"/>
          <w14:textFill>
            <w14:solidFill>
              <w14:schemeClr w14:val="tx1"/>
            </w14:solidFill>
          </w14:textFill>
        </w:rPr>
        <w:t>城乡社区支出489.09万元，占94.67%；</w:t>
      </w:r>
      <w:r>
        <w:rPr>
          <w:rFonts w:hint="eastAsia" w:ascii="仿宋" w:hAnsi="仿宋" w:eastAsia="仿宋" w:cs="仿宋"/>
          <w:color w:val="000000" w:themeColor="text1"/>
          <w:sz w:val="32"/>
          <w:szCs w:val="32"/>
          <w:highlight w:val="none"/>
          <w14:textFill>
            <w14:solidFill>
              <w14:schemeClr w14:val="tx1"/>
            </w14:solidFill>
          </w14:textFill>
        </w:rPr>
        <w:t>住房保障</w:t>
      </w:r>
      <w:r>
        <w:rPr>
          <w:rFonts w:hint="eastAsia" w:ascii="仿宋" w:hAnsi="仿宋" w:eastAsia="仿宋" w:cs="仿宋"/>
          <w:color w:val="000000" w:themeColor="text1"/>
          <w:sz w:val="32"/>
          <w:szCs w:val="32"/>
          <w:highlight w:val="none"/>
          <w:lang w:val="en-US" w:eastAsia="zh-CN"/>
          <w14:textFill>
            <w14:solidFill>
              <w14:schemeClr w14:val="tx1"/>
            </w14:solidFill>
          </w14:textFill>
        </w:rPr>
        <w:t>支出27.53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占</w:t>
      </w:r>
      <w:r>
        <w:rPr>
          <w:rFonts w:hint="eastAsia" w:ascii="仿宋" w:hAnsi="仿宋" w:eastAsia="仿宋" w:cs="仿宋"/>
          <w:color w:val="000000" w:themeColor="text1"/>
          <w:sz w:val="32"/>
          <w:szCs w:val="32"/>
          <w:highlight w:val="none"/>
          <w:lang w:val="en-US" w:eastAsia="zh-CN"/>
          <w14:textFill>
            <w14:solidFill>
              <w14:schemeClr w14:val="tx1"/>
            </w14:solidFill>
          </w14:textFill>
        </w:rPr>
        <w:t>5.33</w:t>
      </w:r>
      <w:r>
        <w:rPr>
          <w:rFonts w:hint="eastAsia" w:ascii="仿宋" w:hAnsi="仿宋" w:eastAsia="仿宋" w:cs="仿宋"/>
          <w:color w:val="000000" w:themeColor="text1"/>
          <w:sz w:val="32"/>
          <w:szCs w:val="32"/>
          <w:highlight w:val="none"/>
          <w14:textFill>
            <w14:solidFill>
              <w14:schemeClr w14:val="tx1"/>
            </w14:solidFill>
          </w14:textFill>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sz w:val="32"/>
          <w:szCs w:val="32"/>
        </w:rPr>
      </w:pPr>
      <w:r>
        <w:rPr>
          <w:rFonts w:hint="eastAsia" w:ascii="仿宋" w:hAnsi="仿宋" w:eastAsia="仿宋" w:cs="仿宋"/>
          <w:b/>
          <w:sz w:val="32"/>
          <w:szCs w:val="32"/>
        </w:rPr>
        <w:t>（一）基本支出：</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年本部门基本支出预算数</w:t>
      </w:r>
      <w:r>
        <w:rPr>
          <w:rFonts w:hint="eastAsia" w:ascii="仿宋" w:hAnsi="仿宋" w:eastAsia="仿宋" w:cs="仿宋"/>
          <w:sz w:val="32"/>
          <w:szCs w:val="32"/>
          <w:lang w:val="en-US" w:eastAsia="zh-CN"/>
        </w:rPr>
        <w:t>440.63</w:t>
      </w:r>
      <w:r>
        <w:rPr>
          <w:rFonts w:hint="eastAsia" w:ascii="仿宋" w:hAnsi="仿宋" w:eastAsia="仿宋" w:cs="仿宋"/>
          <w:sz w:val="32"/>
          <w:szCs w:val="32"/>
        </w:rPr>
        <w:t>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sz w:val="32"/>
          <w:szCs w:val="32"/>
          <w:lang w:eastAsia="zh-CN"/>
        </w:rPr>
      </w:pPr>
      <w:r>
        <w:rPr>
          <w:rFonts w:hint="eastAsia" w:ascii="仿宋" w:hAnsi="仿宋" w:eastAsia="仿宋" w:cs="仿宋"/>
          <w:b/>
          <w:sz w:val="32"/>
          <w:szCs w:val="32"/>
        </w:rPr>
        <w:t>（二）项目支出：</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年本部门项目支出预算</w:t>
      </w:r>
      <w:r>
        <w:rPr>
          <w:rFonts w:hint="eastAsia" w:ascii="仿宋" w:hAnsi="仿宋" w:eastAsia="仿宋" w:cs="仿宋"/>
          <w:sz w:val="32"/>
          <w:szCs w:val="32"/>
          <w:lang w:val="en-US" w:eastAsia="zh-CN"/>
        </w:rPr>
        <w:t>76</w:t>
      </w:r>
      <w:r>
        <w:rPr>
          <w:rFonts w:hint="eastAsia" w:ascii="仿宋" w:hAnsi="仿宋" w:eastAsia="仿宋" w:cs="仿宋"/>
          <w:sz w:val="32"/>
          <w:szCs w:val="32"/>
        </w:rPr>
        <w:t>万元，主要是部门为完成特定行政工作任务或事业发展目标而发生的支出，包括有关事业发展专项、专项业务费、基本建设支出等，其中：法律顾问费用7万元，主要用于单位业务合同的签订过程中的法律咨询等事务；其他费用69万元，主要用于各业务科室在履行城市更新、城市体检、历史文化名城保护、城市危旧房改造、老旧小区改造等职能时的相关管理费用</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eastAsia="仿宋_GB2312"/>
          <w:b/>
          <w:sz w:val="32"/>
          <w:szCs w:val="32"/>
          <w:lang w:eastAsia="zh-CN"/>
        </w:rPr>
      </w:pPr>
      <w:r>
        <w:rPr>
          <w:rFonts w:hint="eastAsia" w:ascii="仿宋" w:hAnsi="仿宋" w:eastAsia="仿宋" w:cs="仿宋"/>
          <w:sz w:val="32"/>
          <w:szCs w:val="32"/>
        </w:rPr>
        <w:t>本部门无政府性基金安排的支出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b/>
          <w:sz w:val="32"/>
          <w:szCs w:val="32"/>
        </w:rPr>
        <w:t>（一）机关运行经费：</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w:t>
      </w:r>
      <w:r>
        <w:rPr>
          <w:rFonts w:hint="eastAsia" w:ascii="仿宋" w:hAnsi="仿宋" w:eastAsia="仿宋" w:cs="仿宋"/>
          <w:kern w:val="0"/>
          <w:sz w:val="32"/>
          <w:szCs w:val="32"/>
          <w:lang w:val="en-US" w:eastAsia="zh-CN" w:bidi="ar"/>
        </w:rPr>
        <w:t>局机关（行政单位）以及二级机构的机关运行经费当年一般公共预算拨款36.89万元，比上年预算增加11.83万元，</w:t>
      </w:r>
      <w:r>
        <w:rPr>
          <w:rFonts w:hint="eastAsia" w:ascii="仿宋" w:hAnsi="仿宋" w:eastAsia="仿宋" w:cs="仿宋"/>
          <w:sz w:val="32"/>
          <w:szCs w:val="32"/>
        </w:rPr>
        <w:t>上升</w:t>
      </w:r>
      <w:r>
        <w:rPr>
          <w:rFonts w:hint="eastAsia" w:ascii="仿宋" w:hAnsi="仿宋" w:eastAsia="仿宋" w:cs="仿宋"/>
          <w:sz w:val="32"/>
          <w:szCs w:val="32"/>
          <w:lang w:val="en-US" w:eastAsia="zh-CN"/>
        </w:rPr>
        <w:t>47.21</w:t>
      </w:r>
      <w:r>
        <w:rPr>
          <w:rFonts w:hint="eastAsia" w:ascii="仿宋" w:hAnsi="仿宋" w:eastAsia="仿宋" w:cs="仿宋"/>
          <w:sz w:val="32"/>
          <w:szCs w:val="32"/>
        </w:rPr>
        <w:t>%，主要是增加了在编人员的公用经费及其他交通费用。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b/>
          <w:sz w:val="32"/>
          <w:szCs w:val="32"/>
        </w:rPr>
        <w:t>（二）“三公”经费预算：</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年本部门局机关（行政单位）</w:t>
      </w:r>
      <w:r>
        <w:rPr>
          <w:rFonts w:hint="eastAsia" w:ascii="仿宋" w:hAnsi="仿宋" w:eastAsia="仿宋" w:cs="仿宋"/>
          <w:sz w:val="32"/>
          <w:szCs w:val="32"/>
          <w:lang w:val="en-US" w:eastAsia="zh-CN"/>
        </w:rPr>
        <w:t>以</w:t>
      </w:r>
      <w:r>
        <w:rPr>
          <w:rFonts w:hint="eastAsia" w:ascii="仿宋" w:hAnsi="仿宋" w:eastAsia="仿宋" w:cs="仿宋"/>
          <w:kern w:val="0"/>
          <w:sz w:val="32"/>
          <w:szCs w:val="32"/>
          <w:lang w:val="en-US" w:eastAsia="zh-CN" w:bidi="ar"/>
        </w:rPr>
        <w:t>及二级机构的</w:t>
      </w:r>
      <w:r>
        <w:rPr>
          <w:rFonts w:hint="eastAsia" w:ascii="仿宋" w:hAnsi="仿宋" w:eastAsia="仿宋" w:cs="仿宋"/>
          <w:sz w:val="32"/>
          <w:szCs w:val="32"/>
        </w:rPr>
        <w:t>“三公”经费预算数为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2021</w:t>
      </w:r>
      <w:r>
        <w:rPr>
          <w:rFonts w:hint="eastAsia" w:ascii="仿宋" w:hAnsi="仿宋" w:eastAsia="仿宋" w:cs="仿宋"/>
          <w:sz w:val="32"/>
          <w:szCs w:val="32"/>
        </w:rPr>
        <w:t>年“三公”经费预算较2020年减少</w:t>
      </w:r>
      <w:r>
        <w:rPr>
          <w:rFonts w:hint="eastAsia" w:ascii="仿宋" w:hAnsi="仿宋" w:eastAsia="仿宋" w:cs="仿宋"/>
          <w:color w:val="FF0000"/>
          <w:sz w:val="32"/>
          <w:szCs w:val="32"/>
          <w:lang w:val="en-US" w:eastAsia="zh-CN"/>
        </w:rPr>
        <w:t>0.5</w:t>
      </w:r>
      <w:r>
        <w:rPr>
          <w:rFonts w:hint="eastAsia" w:ascii="仿宋" w:hAnsi="仿宋" w:eastAsia="仿宋" w:cs="仿宋"/>
          <w:sz w:val="32"/>
          <w:szCs w:val="32"/>
        </w:rPr>
        <w:t>万元，主要是没有编制公务接待费用。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kern w:val="0"/>
          <w:sz w:val="32"/>
          <w:szCs w:val="32"/>
          <w:highlight w:val="none"/>
          <w:u w:val="none"/>
        </w:rPr>
      </w:pPr>
      <w:r>
        <w:rPr>
          <w:rFonts w:hint="eastAsia" w:ascii="仿宋" w:hAnsi="仿宋" w:eastAsia="仿宋" w:cs="仿宋"/>
          <w:b/>
          <w:sz w:val="32"/>
          <w:szCs w:val="32"/>
          <w:highlight w:val="none"/>
          <w:u w:val="none"/>
        </w:rPr>
        <w:t>（三）一般性支出情况：</w:t>
      </w:r>
      <w:r>
        <w:rPr>
          <w:rFonts w:hint="eastAsia" w:ascii="仿宋" w:hAnsi="仿宋" w:eastAsia="仿宋" w:cs="仿宋"/>
          <w:b/>
          <w:sz w:val="32"/>
          <w:szCs w:val="32"/>
          <w:highlight w:val="none"/>
          <w:u w:val="none"/>
          <w:lang w:val="en-US" w:eastAsia="zh-CN"/>
        </w:rPr>
        <w:t>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0</w:t>
      </w:r>
      <w:r>
        <w:rPr>
          <w:rFonts w:hint="eastAsia" w:ascii="仿宋" w:hAnsi="仿宋" w:eastAsia="仿宋" w:cs="仿宋"/>
          <w:kern w:val="0"/>
          <w:sz w:val="32"/>
          <w:szCs w:val="32"/>
          <w:highlight w:val="none"/>
          <w:u w:val="none"/>
        </w:rPr>
        <w:t>万元；培训费预算</w:t>
      </w:r>
      <w:r>
        <w:rPr>
          <w:rFonts w:hint="eastAsia" w:ascii="仿宋" w:hAnsi="仿宋" w:eastAsia="仿宋" w:cs="仿宋"/>
          <w:sz w:val="32"/>
          <w:szCs w:val="32"/>
          <w:highlight w:val="none"/>
          <w:u w:val="none"/>
          <w:lang w:val="en-US" w:eastAsia="zh-CN"/>
        </w:rPr>
        <w:t>0</w:t>
      </w:r>
      <w:r>
        <w:rPr>
          <w:rFonts w:hint="eastAsia" w:ascii="仿宋" w:hAnsi="仿宋" w:eastAsia="仿宋" w:cs="仿宋"/>
          <w:kern w:val="0"/>
          <w:sz w:val="32"/>
          <w:szCs w:val="32"/>
          <w:highlight w:val="none"/>
          <w:u w:val="none"/>
        </w:rPr>
        <w:t>万元；</w:t>
      </w:r>
      <w:r>
        <w:rPr>
          <w:rFonts w:hint="eastAsia" w:ascii="仿宋" w:hAnsi="仿宋" w:eastAsia="仿宋" w:cs="仿宋"/>
          <w:kern w:val="0"/>
          <w:sz w:val="32"/>
          <w:szCs w:val="32"/>
          <w:highlight w:val="none"/>
          <w:u w:val="none"/>
          <w:lang w:val="en-US" w:eastAsia="zh-CN"/>
        </w:rPr>
        <w:t>未</w:t>
      </w:r>
      <w:r>
        <w:rPr>
          <w:rFonts w:hint="eastAsia" w:ascii="仿宋" w:hAnsi="仿宋" w:eastAsia="仿宋" w:cs="仿宋"/>
          <w:kern w:val="0"/>
          <w:sz w:val="32"/>
          <w:szCs w:val="32"/>
          <w:highlight w:val="none"/>
          <w:u w:val="none"/>
        </w:rPr>
        <w:t>举办节庆、晚会、论坛、赛事活动，经费预算</w:t>
      </w:r>
      <w:r>
        <w:rPr>
          <w:rFonts w:hint="eastAsia" w:ascii="仿宋" w:hAnsi="仿宋" w:eastAsia="仿宋" w:cs="仿宋"/>
          <w:kern w:val="0"/>
          <w:sz w:val="32"/>
          <w:szCs w:val="32"/>
          <w:highlight w:val="none"/>
          <w:u w:val="none"/>
          <w:lang w:val="en-US" w:eastAsia="zh-CN"/>
        </w:rPr>
        <w:t>0</w:t>
      </w:r>
      <w:r>
        <w:rPr>
          <w:rFonts w:hint="eastAsia" w:ascii="仿宋" w:hAnsi="仿宋" w:eastAsia="仿宋" w:cs="仿宋"/>
          <w:kern w:val="0"/>
          <w:sz w:val="32"/>
          <w:szCs w:val="32"/>
          <w:highlight w:val="none"/>
          <w:u w:val="none"/>
        </w:rPr>
        <w:t>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四）</w:t>
      </w:r>
      <w:r>
        <w:rPr>
          <w:rFonts w:hint="eastAsia" w:ascii="仿宋" w:hAnsi="仿宋" w:eastAsia="仿宋" w:cs="仿宋"/>
          <w:b/>
          <w:sz w:val="32"/>
          <w:szCs w:val="32"/>
        </w:rPr>
        <w:t>政府采购情况：</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年本部门政府采购预算总额</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5.45</w:t>
      </w:r>
      <w:r>
        <w:rPr>
          <w:rFonts w:hint="eastAsia" w:ascii="仿宋" w:hAnsi="仿宋" w:eastAsia="仿宋" w:cs="仿宋"/>
          <w:sz w:val="32"/>
          <w:szCs w:val="32"/>
        </w:rPr>
        <w:t>万元，其中，货物类采购预算</w:t>
      </w:r>
      <w:r>
        <w:rPr>
          <w:rFonts w:hint="eastAsia" w:ascii="仿宋" w:hAnsi="仿宋" w:eastAsia="仿宋" w:cs="仿宋"/>
          <w:sz w:val="32"/>
          <w:szCs w:val="32"/>
          <w:lang w:val="en-US" w:eastAsia="zh-CN"/>
        </w:rPr>
        <w:t>5.45</w:t>
      </w:r>
      <w:r>
        <w:rPr>
          <w:rFonts w:hint="eastAsia" w:ascii="仿宋" w:hAnsi="仿宋" w:eastAsia="仿宋" w:cs="仿宋"/>
          <w:sz w:val="32"/>
          <w:szCs w:val="32"/>
        </w:rPr>
        <w:t>万元；工程类采购预算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万元；服务类采购预算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kern w:val="0"/>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sz w:val="32"/>
          <w:szCs w:val="32"/>
        </w:rPr>
        <w:t>截至2020年12月底，</w:t>
      </w:r>
      <w:r>
        <w:rPr>
          <w:rFonts w:hint="eastAsia" w:ascii="仿宋" w:hAnsi="仿宋" w:eastAsia="仿宋" w:cs="仿宋"/>
          <w:sz w:val="32"/>
          <w:szCs w:val="32"/>
          <w:highlight w:val="none"/>
          <w:u w:val="none"/>
        </w:rPr>
        <w:t>本部门</w:t>
      </w:r>
      <w:r>
        <w:rPr>
          <w:rFonts w:hint="eastAsia" w:ascii="仿宋" w:hAnsi="仿宋" w:eastAsia="仿宋" w:cs="仿宋"/>
          <w:bCs/>
          <w:kern w:val="0"/>
          <w:sz w:val="32"/>
          <w:szCs w:val="32"/>
          <w:highlight w:val="none"/>
          <w:u w:val="none"/>
        </w:rPr>
        <w:t>共有公务用车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辆，其中，机要通信用车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辆，应急保障用车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辆，执法执勤用车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辆，特种专业技术用车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辆，其他按照规定配备的公务用车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辆；单位价值50万元以上通用设备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台，单位价值100万元以上专用设备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w:t>
      </w:r>
      <w:r>
        <w:rPr>
          <w:rFonts w:hint="eastAsia" w:ascii="仿宋" w:hAnsi="仿宋" w:eastAsia="仿宋" w:cs="仿宋"/>
          <w:bCs/>
          <w:kern w:val="0"/>
          <w:sz w:val="32"/>
          <w:szCs w:val="32"/>
          <w:highlight w:val="none"/>
          <w:u w:val="none"/>
          <w:lang w:val="en-US" w:eastAsia="zh-CN"/>
        </w:rPr>
        <w:t>2021</w:t>
      </w:r>
      <w:r>
        <w:rPr>
          <w:rFonts w:hint="eastAsia" w:ascii="仿宋" w:hAnsi="仿宋" w:eastAsia="仿宋" w:cs="仿宋"/>
          <w:bCs/>
          <w:kern w:val="0"/>
          <w:sz w:val="32"/>
          <w:szCs w:val="32"/>
          <w:highlight w:val="none"/>
          <w:u w:val="none"/>
        </w:rPr>
        <w:t>年拟新增配置公务用车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辆，其中，机要通信用车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辆，应急保障用车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辆，执法执勤用车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辆，特种专业技术用车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辆，其他按照规定配备的公务用车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辆；新增配备单位价值50万元以上通用设备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台，单位价值100万元以上专用设备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kern w:val="0"/>
          <w:sz w:val="32"/>
          <w:szCs w:val="32"/>
        </w:rPr>
      </w:pPr>
      <w:r>
        <w:rPr>
          <w:rFonts w:hint="eastAsia" w:ascii="仿宋" w:hAnsi="仿宋" w:eastAsia="仿宋" w:cs="仿宋"/>
          <w:b/>
          <w:bCs/>
          <w:kern w:val="0"/>
          <w:sz w:val="32"/>
          <w:szCs w:val="32"/>
        </w:rPr>
        <w:t>（六）预算绩效目标说明：</w:t>
      </w:r>
      <w:r>
        <w:rPr>
          <w:rFonts w:hint="eastAsia" w:ascii="仿宋" w:hAnsi="仿宋" w:eastAsia="仿宋" w:cs="仿宋"/>
          <w:bCs/>
          <w:kern w:val="0"/>
          <w:sz w:val="32"/>
          <w:szCs w:val="32"/>
        </w:rPr>
        <w:t>本部门所有支出实行绩效目标管理。纳入</w:t>
      </w:r>
      <w:r>
        <w:rPr>
          <w:rFonts w:hint="eastAsia" w:ascii="仿宋" w:hAnsi="仿宋" w:eastAsia="仿宋" w:cs="仿宋"/>
          <w:bCs/>
          <w:kern w:val="0"/>
          <w:sz w:val="32"/>
          <w:szCs w:val="32"/>
          <w:lang w:val="en-US" w:eastAsia="zh-CN"/>
        </w:rPr>
        <w:t>2021</w:t>
      </w:r>
      <w:r>
        <w:rPr>
          <w:rFonts w:hint="eastAsia" w:ascii="仿宋" w:hAnsi="仿宋" w:eastAsia="仿宋" w:cs="仿宋"/>
          <w:bCs/>
          <w:kern w:val="0"/>
          <w:sz w:val="32"/>
          <w:szCs w:val="32"/>
        </w:rPr>
        <w:t>年部门整体支出绩效目标的金额为</w:t>
      </w:r>
      <w:r>
        <w:rPr>
          <w:rFonts w:hint="eastAsia" w:ascii="仿宋" w:hAnsi="仿宋" w:eastAsia="仿宋" w:cs="仿宋"/>
          <w:bCs/>
          <w:kern w:val="0"/>
          <w:sz w:val="32"/>
          <w:szCs w:val="32"/>
          <w:lang w:val="en-US" w:eastAsia="zh-CN"/>
        </w:rPr>
        <w:t>516.63</w:t>
      </w:r>
      <w:r>
        <w:rPr>
          <w:rFonts w:hint="eastAsia" w:ascii="仿宋" w:hAnsi="仿宋" w:eastAsia="仿宋" w:cs="仿宋"/>
          <w:bCs/>
          <w:kern w:val="0"/>
          <w:sz w:val="32"/>
          <w:szCs w:val="32"/>
        </w:rPr>
        <w:t>万元，其中，基本支出</w:t>
      </w:r>
      <w:r>
        <w:rPr>
          <w:rFonts w:hint="eastAsia" w:ascii="仿宋" w:hAnsi="仿宋" w:eastAsia="仿宋" w:cs="仿宋"/>
          <w:bCs/>
          <w:kern w:val="0"/>
          <w:sz w:val="32"/>
          <w:szCs w:val="32"/>
          <w:lang w:val="en-US" w:eastAsia="zh-CN"/>
        </w:rPr>
        <w:t>440.63</w:t>
      </w:r>
      <w:r>
        <w:rPr>
          <w:rFonts w:hint="eastAsia" w:ascii="仿宋" w:hAnsi="仿宋" w:eastAsia="仿宋" w:cs="仿宋"/>
          <w:bCs/>
          <w:kern w:val="0"/>
          <w:sz w:val="32"/>
          <w:szCs w:val="32"/>
        </w:rPr>
        <w:t>万元，项目支出</w:t>
      </w:r>
      <w:r>
        <w:rPr>
          <w:rFonts w:hint="eastAsia" w:ascii="仿宋" w:hAnsi="仿宋" w:eastAsia="仿宋" w:cs="仿宋"/>
          <w:bCs/>
          <w:kern w:val="0"/>
          <w:sz w:val="32"/>
          <w:szCs w:val="32"/>
          <w:lang w:val="en-US" w:eastAsia="zh-CN"/>
        </w:rPr>
        <w:t>76</w:t>
      </w:r>
      <w:r>
        <w:rPr>
          <w:rFonts w:hint="eastAsia" w:ascii="仿宋" w:hAnsi="仿宋" w:eastAsia="仿宋" w:cs="仿宋"/>
          <w:bCs/>
          <w:kern w:val="0"/>
          <w:sz w:val="32"/>
          <w:szCs w:val="32"/>
        </w:rPr>
        <w:t>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、一般公共预算拨款收入：指开福区财政当年拨付的资金。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、基本支出：指为保障机构正常运转、完成日常工作任务而发生的人员支出和公用支出。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val="0"/>
          <w:kern w:val="0"/>
          <w:sz w:val="36"/>
          <w:szCs w:val="36"/>
        </w:rPr>
      </w:pPr>
      <w:r>
        <w:rPr>
          <w:rFonts w:hint="eastAsia" w:ascii="黑体" w:hAnsi="黑体" w:eastAsia="黑体" w:cs="黑体"/>
          <w:b/>
          <w:bCs w:val="0"/>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sz w:val="32"/>
          <w:szCs w:val="32"/>
        </w:rPr>
      </w:pPr>
    </w:p>
    <w:p>
      <w:pPr>
        <w:widowControl w:val="0"/>
        <w:numPr>
          <w:ilvl w:val="0"/>
          <w:numId w:val="0"/>
        </w:numPr>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82501"/>
    <w:multiLevelType w:val="singleLevel"/>
    <w:tmpl w:val="E2382501"/>
    <w:lvl w:ilvl="0" w:tentative="0">
      <w:start w:val="3"/>
      <w:numFmt w:val="chineseCounting"/>
      <w:suff w:val="nothing"/>
      <w:lvlText w:val="%1、"/>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YzYxOWI2ZGI1YmJjMDRhMDhiZDExZjA4YzBlNmUifQ=="/>
  </w:docVars>
  <w:rsids>
    <w:rsidRoot w:val="00000000"/>
    <w:rsid w:val="01EF10AD"/>
    <w:rsid w:val="02795851"/>
    <w:rsid w:val="03CF06E6"/>
    <w:rsid w:val="05A1574E"/>
    <w:rsid w:val="095D1531"/>
    <w:rsid w:val="0F644C06"/>
    <w:rsid w:val="11651E66"/>
    <w:rsid w:val="13EE1DFE"/>
    <w:rsid w:val="18A95651"/>
    <w:rsid w:val="1C344DE6"/>
    <w:rsid w:val="208D2D27"/>
    <w:rsid w:val="26D95AFF"/>
    <w:rsid w:val="30F22065"/>
    <w:rsid w:val="331C62F0"/>
    <w:rsid w:val="332635D7"/>
    <w:rsid w:val="33291F9F"/>
    <w:rsid w:val="3504369D"/>
    <w:rsid w:val="363A6EAC"/>
    <w:rsid w:val="368660B0"/>
    <w:rsid w:val="38E2700F"/>
    <w:rsid w:val="39E44296"/>
    <w:rsid w:val="3F380261"/>
    <w:rsid w:val="404650A7"/>
    <w:rsid w:val="40FE0DAB"/>
    <w:rsid w:val="41EE3DDA"/>
    <w:rsid w:val="45513391"/>
    <w:rsid w:val="47AD7E68"/>
    <w:rsid w:val="4889029E"/>
    <w:rsid w:val="4B2536F4"/>
    <w:rsid w:val="52A0688F"/>
    <w:rsid w:val="52D60E8A"/>
    <w:rsid w:val="548E2346"/>
    <w:rsid w:val="549A28A4"/>
    <w:rsid w:val="55785F47"/>
    <w:rsid w:val="5965215A"/>
    <w:rsid w:val="59BC544E"/>
    <w:rsid w:val="5B361410"/>
    <w:rsid w:val="5F7A67CE"/>
    <w:rsid w:val="66022DCF"/>
    <w:rsid w:val="678C53E3"/>
    <w:rsid w:val="67AC28B8"/>
    <w:rsid w:val="67DE11E4"/>
    <w:rsid w:val="69EB5EE3"/>
    <w:rsid w:val="6BDB52B5"/>
    <w:rsid w:val="73E81164"/>
    <w:rsid w:val="74331D1E"/>
    <w:rsid w:val="74646500"/>
    <w:rsid w:val="747B6213"/>
    <w:rsid w:val="75B75977"/>
    <w:rsid w:val="78404D07"/>
    <w:rsid w:val="7EEA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paragraph" w:styleId="9">
    <w:name w:val="List Paragraph"/>
    <w:basedOn w:val="1"/>
    <w:qFormat/>
    <w:uiPriority w:val="34"/>
    <w:pPr>
      <w:ind w:firstLine="420" w:firstLineChars="200"/>
    </w:pPr>
    <w:rPr>
      <w:rFonts w:ascii="Calibri" w:hAnsi="Calibri" w:eastAsia="宋体" w:cs="Times New Roman"/>
      <w:szCs w:val="22"/>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row_tree_level_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3252</Words>
  <Characters>3434</Characters>
  <Lines>0</Lines>
  <Paragraphs>0</Paragraphs>
  <TotalTime>2</TotalTime>
  <ScaleCrop>false</ScaleCrop>
  <LinksUpToDate>false</LinksUpToDate>
  <CharactersWithSpaces>3439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2021-11-30T14:53:00Z</dcterms:created>
  <dc:creator>朱嘉</dc:creator>
  <cp:lastModifiedBy>Administrator</cp:lastModifiedBy>
  <dcterms:modified xsi:type="dcterms:W3CDTF">2022-08-19T02:39:31Z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544EBE812CDD4A27A019F8BF60191F12</vt:lpwstr>
  </property>
</Properties>
</file>