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left="0" w:right="0" w:firstLine="0"/>
        <w:jc w:val="center"/>
        <w:textAlignment w:val="auto"/>
        <w:outlineLvl w:val="9"/>
        <w:rPr>
          <w:rFonts w:hint="eastAsia" w:ascii="方正小标宋简体" w:hAnsi="方正小标宋简体" w:eastAsia="方正小标宋简体" w:cs="方正小标宋简体"/>
          <w:b w:val="0"/>
          <w:bCs/>
          <w:i w:val="0"/>
          <w:caps w:val="0"/>
          <w:color w:val="auto"/>
          <w:spacing w:val="0"/>
          <w:sz w:val="44"/>
          <w:szCs w:val="44"/>
        </w:rPr>
      </w:pPr>
      <w:r>
        <w:rPr>
          <w:rFonts w:hint="default" w:ascii="Times New Roman" w:hAnsi="Times New Roman" w:eastAsia="方正小标宋简体" w:cs="Times New Roman"/>
          <w:b w:val="0"/>
          <w:bCs/>
          <w:i w:val="0"/>
          <w:caps w:val="0"/>
          <w:color w:val="auto"/>
          <w:spacing w:val="0"/>
          <w:sz w:val="44"/>
          <w:szCs w:val="44"/>
          <w:shd w:val="clear" w:fill="FFFFFF"/>
          <w:lang w:val="en-US" w:eastAsia="zh-CN"/>
        </w:rPr>
        <w:t>2019</w:t>
      </w:r>
      <w:r>
        <w:rPr>
          <w:rFonts w:hint="eastAsia" w:ascii="方正小标宋简体" w:hAnsi="方正小标宋简体" w:eastAsia="方正小标宋简体" w:cs="方正小标宋简体"/>
          <w:b w:val="0"/>
          <w:bCs/>
          <w:i w:val="0"/>
          <w:caps w:val="0"/>
          <w:color w:val="auto"/>
          <w:spacing w:val="0"/>
          <w:sz w:val="44"/>
          <w:szCs w:val="44"/>
          <w:shd w:val="clear" w:fill="FFFFFF"/>
          <w:lang w:val="en-US" w:eastAsia="zh-CN"/>
        </w:rPr>
        <w:t>年</w:t>
      </w:r>
      <w:r>
        <w:rPr>
          <w:rFonts w:hint="eastAsia" w:ascii="方正小标宋简体" w:hAnsi="方正小标宋简体" w:eastAsia="方正小标宋简体" w:cs="方正小标宋简体"/>
          <w:b w:val="0"/>
          <w:bCs/>
          <w:i w:val="0"/>
          <w:caps w:val="0"/>
          <w:color w:val="auto"/>
          <w:spacing w:val="0"/>
          <w:sz w:val="44"/>
          <w:szCs w:val="44"/>
          <w:shd w:val="clear" w:fill="FFFFFF"/>
        </w:rPr>
        <w:t>政府信息公开工作年度报告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宋体" w:hAnsi="宋体" w:eastAsia="宋体" w:cs="宋体"/>
          <w:i w:val="0"/>
          <w:caps w:val="0"/>
          <w:color w:val="auto"/>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本年报根据《中华人民共和国政府信息公开条例》要求，</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总体情况</w:t>
      </w:r>
      <w:r>
        <w:rPr>
          <w:rFonts w:hint="eastAsia" w:ascii="仿宋_GB2312" w:hAnsi="仿宋_GB2312" w:eastAsia="仿宋_GB2312" w:cs="仿宋_GB2312"/>
          <w:color w:val="auto"/>
          <w:sz w:val="32"/>
          <w:szCs w:val="32"/>
        </w:rPr>
        <w:t>、主动公开政府信息情况、</w:t>
      </w:r>
      <w:r>
        <w:rPr>
          <w:rFonts w:hint="eastAsia" w:ascii="仿宋_GB2312" w:hAnsi="仿宋_GB2312" w:eastAsia="仿宋_GB2312" w:cs="仿宋_GB2312"/>
          <w:color w:val="auto"/>
          <w:sz w:val="32"/>
          <w:szCs w:val="32"/>
          <w:lang w:eastAsia="zh-CN"/>
        </w:rPr>
        <w:t>收到和处理政府信息公开申请情况</w:t>
      </w:r>
      <w:r>
        <w:rPr>
          <w:rFonts w:hint="eastAsia" w:ascii="仿宋_GB2312" w:hAnsi="仿宋_GB2312" w:eastAsia="仿宋_GB2312" w:cs="仿宋_GB2312"/>
          <w:color w:val="auto"/>
          <w:sz w:val="32"/>
          <w:szCs w:val="32"/>
        </w:rPr>
        <w:t>、政府信息公开行政复议、行政诉讼情况、政府信息公开工作存在的主要问题及改进情况</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六个部分组成。本报告中所列数据的统计期限自</w:t>
      </w:r>
      <w:r>
        <w:rPr>
          <w:rFonts w:hint="default" w:ascii="Times New Roman" w:hAnsi="Times New Roman" w:eastAsia="仿宋_GB2312" w:cs="Times New Roman"/>
          <w:color w:val="auto"/>
          <w:sz w:val="32"/>
          <w:szCs w:val="32"/>
        </w:rPr>
        <w:t>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年1月1日起至201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年12月31</w:t>
      </w:r>
      <w:r>
        <w:rPr>
          <w:rFonts w:hint="eastAsia" w:ascii="仿宋_GB2312" w:hAnsi="仿宋_GB2312" w:eastAsia="仿宋_GB2312" w:cs="仿宋_GB2312"/>
          <w:color w:val="auto"/>
          <w:sz w:val="32"/>
          <w:szCs w:val="32"/>
        </w:rPr>
        <w:t>日止</w:t>
      </w:r>
      <w:r>
        <w:rPr>
          <w:rFonts w:hint="eastAsia" w:ascii="仿宋_GB2312" w:hAnsi="仿宋_GB2312" w:eastAsia="仿宋_GB2312" w:cs="仿宋_GB2312"/>
          <w:color w:val="auto"/>
          <w:sz w:val="32"/>
          <w:szCs w:val="32"/>
          <w:lang w:eastAsia="zh-CN"/>
        </w:rPr>
        <w:t>。</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一、总体情况</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eastAsia" w:ascii="仿宋_GB2312" w:hAnsi="仿宋_GB2312" w:eastAsia="仿宋_GB2312" w:cs="仿宋_GB2312"/>
          <w:i w:val="0"/>
          <w:caps w:val="0"/>
          <w:color w:val="auto"/>
          <w:spacing w:val="0"/>
          <w:sz w:val="32"/>
          <w:szCs w:val="32"/>
        </w:rPr>
      </w:pPr>
      <w:r>
        <w:rPr>
          <w:rFonts w:hint="eastAsia" w:ascii="Times New Roman" w:hAnsi="Times New Roman" w:eastAsia="仿宋_GB2312" w:cs="Times New Roman"/>
          <w:color w:val="auto"/>
          <w:sz w:val="32"/>
          <w:szCs w:val="32"/>
          <w:lang w:val="en-US" w:eastAsia="zh-CN"/>
        </w:rPr>
        <w:t>2019</w:t>
      </w:r>
      <w:r>
        <w:rPr>
          <w:rFonts w:hint="eastAsia" w:ascii="仿宋_GB2312" w:hAnsi="仿宋_GB2312" w:eastAsia="仿宋_GB2312" w:cs="仿宋_GB2312"/>
          <w:i w:val="0"/>
          <w:caps w:val="0"/>
          <w:color w:val="auto"/>
          <w:spacing w:val="0"/>
          <w:kern w:val="0"/>
          <w:sz w:val="32"/>
          <w:szCs w:val="32"/>
          <w:shd w:val="clear" w:fill="FFFFFF"/>
          <w:lang w:val="en-US" w:eastAsia="zh-CN" w:bidi="ar"/>
        </w:rPr>
        <w:t>年，区科技局结合工作职能和工作实际，高度重视政府信息公开工作，积极组织实施政府信息公开，建立健全各项运行、监督和管理制度，对发现的问题及时有效整改，全年政府信息公开各项工作取得明显成效。</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right="0" w:rightChars="0" w:firstLine="643" w:firstLineChars="200"/>
        <w:jc w:val="left"/>
        <w:textAlignment w:val="auto"/>
        <w:outlineLvl w:val="9"/>
        <w:rPr>
          <w:rFonts w:hint="eastAsia" w:ascii="楷体_GB2312" w:hAnsi="楷体_GB2312" w:eastAsia="楷体_GB2312" w:cs="楷体_GB2312"/>
          <w:b/>
          <w:i w:val="0"/>
          <w:caps w:val="0"/>
          <w:color w:val="auto"/>
          <w:spacing w:val="0"/>
          <w:kern w:val="0"/>
          <w:sz w:val="32"/>
          <w:szCs w:val="32"/>
          <w:shd w:val="clear" w:fill="FFFFFF"/>
          <w:lang w:val="en-US" w:eastAsia="zh-CN" w:bidi="ar"/>
        </w:rPr>
      </w:pPr>
      <w:r>
        <w:rPr>
          <w:rFonts w:hint="eastAsia" w:ascii="楷体_GB2312" w:hAnsi="楷体_GB2312" w:eastAsia="楷体_GB2312" w:cs="楷体_GB2312"/>
          <w:b/>
          <w:i w:val="0"/>
          <w:caps w:val="0"/>
          <w:color w:val="auto"/>
          <w:spacing w:val="0"/>
          <w:kern w:val="0"/>
          <w:sz w:val="32"/>
          <w:szCs w:val="32"/>
          <w:shd w:val="clear" w:fill="FFFFFF"/>
          <w:lang w:val="en-US" w:eastAsia="zh-CN" w:bidi="ar"/>
        </w:rPr>
        <w:t>（一）强化组织领导</w:t>
      </w:r>
    </w:p>
    <w:p>
      <w:pPr>
        <w:keepNext w:val="0"/>
        <w:keepLines w:val="0"/>
        <w:pageBreakBefore w:val="0"/>
        <w:widowControl w:val="0"/>
        <w:shd w:val="clear"/>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为进一步加强局政府信息公开工作的组织领导，扎实推进科技、科协系统政府信息公开工作开展，区科技局召开专门部署会，成立局政府信息公开工作领导小组，指定一名副局长分管信息公开工作，局办公室为政府信息公开日常工作机构，并明确专人具体负责局政府信息公开工作，</w:t>
      </w:r>
      <w:r>
        <w:rPr>
          <w:rFonts w:hint="eastAsia" w:ascii="仿宋_GB2312" w:hAnsi="仿宋_GB2312" w:eastAsia="仿宋_GB2312" w:cs="仿宋_GB2312"/>
          <w:color w:val="auto"/>
          <w:sz w:val="32"/>
          <w:szCs w:val="32"/>
        </w:rPr>
        <w:t xml:space="preserve">为开展政府信息公开工作提供组织人员保障和奠定了坚实的组织基础。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right="0" w:rightChars="0" w:firstLine="643" w:firstLineChars="200"/>
        <w:jc w:val="left"/>
        <w:textAlignment w:val="auto"/>
        <w:outlineLvl w:val="9"/>
        <w:rPr>
          <w:rFonts w:hint="eastAsia" w:ascii="楷体_GB2312" w:hAnsi="楷体_GB2312" w:eastAsia="楷体_GB2312" w:cs="楷体_GB2312"/>
          <w:b/>
          <w:i w:val="0"/>
          <w:caps w:val="0"/>
          <w:color w:val="auto"/>
          <w:spacing w:val="0"/>
          <w:kern w:val="0"/>
          <w:sz w:val="32"/>
          <w:szCs w:val="32"/>
          <w:shd w:val="clear" w:fill="FFFFFF"/>
          <w:lang w:val="en-US" w:eastAsia="zh-CN" w:bidi="ar"/>
        </w:rPr>
      </w:pPr>
      <w:r>
        <w:rPr>
          <w:rFonts w:hint="eastAsia" w:ascii="楷体_GB2312" w:hAnsi="楷体_GB2312" w:eastAsia="楷体_GB2312" w:cs="楷体_GB2312"/>
          <w:b/>
          <w:i w:val="0"/>
          <w:caps w:val="0"/>
          <w:color w:val="auto"/>
          <w:spacing w:val="0"/>
          <w:kern w:val="0"/>
          <w:sz w:val="32"/>
          <w:szCs w:val="32"/>
          <w:shd w:val="clear" w:fill="FFFFFF"/>
          <w:lang w:val="en-US" w:eastAsia="zh-CN" w:bidi="ar"/>
        </w:rPr>
        <w:t>（二）建立健全工作制度</w:t>
      </w:r>
    </w:p>
    <w:p>
      <w:pPr>
        <w:keepNext w:val="0"/>
        <w:keepLines w:val="0"/>
        <w:pageBreakBefore w:val="0"/>
        <w:widowControl w:val="0"/>
        <w:shd w:val="clear"/>
        <w:kinsoku/>
        <w:wordWrap/>
        <w:overflowPunct w:val="0"/>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一是制定了《</w:t>
      </w:r>
      <w:r>
        <w:rPr>
          <w:rFonts w:hint="eastAsia" w:ascii="仿宋_GB2312" w:hAnsi="仿宋_GB2312" w:eastAsia="仿宋_GB2312" w:cs="仿宋_GB2312"/>
          <w:i w:val="0"/>
          <w:caps w:val="0"/>
          <w:color w:val="auto"/>
          <w:spacing w:val="0"/>
          <w:kern w:val="0"/>
          <w:sz w:val="32"/>
          <w:szCs w:val="32"/>
          <w:shd w:val="clear" w:fill="FFFFFF"/>
          <w:lang w:val="en-US" w:eastAsia="zh-CN" w:bidi="ar"/>
        </w:rPr>
        <w:t>开福区科技局信息工作制度</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明确了工作职责监督和责任追究办法，做到主动及时公开，确保不发生泄密事件，做到“上网信息不涉密、涉密信息不上网”、“该公开的及时公开”。二是加大信息公开审查力度，单位确定一名办公室专职人员管理。三是抓好计算机网络的保密工作。重点加强对计算机及移动存储介质的保密防范，按照“控制源头、加强检查、明确责任、落实制度”和“谁上网，谁负责”的原则，加强对涉密网络的检查和督查</w:t>
      </w:r>
      <w:r>
        <w:rPr>
          <w:rFonts w:hint="eastAsia" w:ascii="仿宋_GB2312" w:hAnsi="仿宋_GB2312" w:eastAsia="仿宋_GB2312" w:cs="仿宋_GB2312"/>
          <w:color w:val="auto"/>
          <w:sz w:val="32"/>
          <w:szCs w:val="32"/>
          <w:lang w:eastAsia="zh-CN"/>
        </w:rPr>
        <w:t>，购买配置了涉密计算机</w:t>
      </w:r>
      <w:r>
        <w:rPr>
          <w:rFonts w:hint="eastAsia" w:ascii="仿宋_GB2312" w:hAnsi="仿宋_GB2312" w:eastAsia="仿宋_GB2312" w:cs="仿宋_GB2312"/>
          <w:color w:val="auto"/>
          <w:sz w:val="32"/>
          <w:szCs w:val="32"/>
        </w:rPr>
        <w:t xml:space="preserve">。 </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right="0" w:rightChars="0" w:firstLine="643" w:firstLineChars="200"/>
        <w:jc w:val="left"/>
        <w:textAlignment w:val="auto"/>
        <w:outlineLvl w:val="9"/>
        <w:rPr>
          <w:rFonts w:hint="eastAsia" w:ascii="楷体_GB2312" w:hAnsi="楷体_GB2312" w:eastAsia="楷体_GB2312" w:cs="楷体_GB2312"/>
          <w:b/>
          <w:i w:val="0"/>
          <w:caps w:val="0"/>
          <w:color w:val="auto"/>
          <w:spacing w:val="0"/>
          <w:kern w:val="0"/>
          <w:sz w:val="32"/>
          <w:szCs w:val="32"/>
          <w:shd w:val="clear" w:fill="FFFFFF"/>
          <w:lang w:val="en-US" w:eastAsia="zh-CN" w:bidi="ar"/>
        </w:rPr>
      </w:pPr>
      <w:r>
        <w:rPr>
          <w:rFonts w:hint="eastAsia" w:ascii="楷体_GB2312" w:hAnsi="楷体_GB2312" w:eastAsia="楷体_GB2312" w:cs="楷体_GB2312"/>
          <w:b/>
          <w:i w:val="0"/>
          <w:caps w:val="0"/>
          <w:color w:val="auto"/>
          <w:spacing w:val="0"/>
          <w:kern w:val="0"/>
          <w:sz w:val="32"/>
          <w:szCs w:val="32"/>
          <w:shd w:val="clear" w:fill="FFFFFF"/>
          <w:lang w:val="en-US" w:eastAsia="zh-CN" w:bidi="ar"/>
        </w:rPr>
        <w:t>（三）多渠道加强推进政府信息公开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left="0" w:right="0" w:firstLine="640" w:firstLineChars="200"/>
        <w:jc w:val="left"/>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caps w:val="0"/>
          <w:color w:val="auto"/>
          <w:spacing w:val="0"/>
          <w:kern w:val="0"/>
          <w:sz w:val="32"/>
          <w:szCs w:val="32"/>
          <w:shd w:val="clear" w:fill="FFFFFF"/>
          <w:lang w:val="en-US" w:eastAsia="zh-CN" w:bidi="ar"/>
        </w:rPr>
        <w:t>围绕区委、区政府中心工作，结合部门实际，通过科技活动周、科普日等各类活动平台，依托区科技局政府信息公开专栏，主动发布科技、科协政策法规、公开办事指南等需主动公开信息事项，对科技、科协发展规划、年度重点工作和群众关心的热点、有争议的项目及工作落实措施和执行情况进行公示，多形式、多渠道、多层面地接受法律监督、民主监督和人民群众的监督，积极简化服务流程。坚持实行集体决策、项目专家组评审、重大项目决策等制度，推进政务决策公开，不断提高审批的公开透明度和科学合理性，充分体现了公平公正。</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right="0" w:rightChars="0" w:firstLine="643" w:firstLineChars="200"/>
        <w:jc w:val="left"/>
        <w:textAlignment w:val="auto"/>
        <w:outlineLvl w:val="9"/>
        <w:rPr>
          <w:rFonts w:hint="eastAsia" w:ascii="楷体_GB2312" w:hAnsi="楷体_GB2312" w:eastAsia="楷体_GB2312" w:cs="楷体_GB2312"/>
          <w:b/>
          <w:i w:val="0"/>
          <w:caps w:val="0"/>
          <w:color w:val="auto"/>
          <w:spacing w:val="0"/>
          <w:kern w:val="0"/>
          <w:sz w:val="32"/>
          <w:szCs w:val="32"/>
          <w:shd w:val="clear" w:fill="FFFFFF"/>
          <w:lang w:val="en-US" w:eastAsia="zh-CN" w:bidi="ar"/>
        </w:rPr>
      </w:pPr>
      <w:r>
        <w:rPr>
          <w:rFonts w:hint="eastAsia" w:ascii="楷体_GB2312" w:hAnsi="楷体_GB2312" w:eastAsia="楷体_GB2312" w:cs="楷体_GB2312"/>
          <w:b/>
          <w:i w:val="0"/>
          <w:caps w:val="0"/>
          <w:color w:val="auto"/>
          <w:spacing w:val="0"/>
          <w:kern w:val="0"/>
          <w:sz w:val="32"/>
          <w:szCs w:val="32"/>
          <w:shd w:val="clear" w:fill="FFFFFF"/>
          <w:lang w:val="en-US" w:eastAsia="zh-CN" w:bidi="ar"/>
        </w:rPr>
        <w:t>(四）公开政府信息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left="0" w:right="0" w:firstLine="640" w:firstLineChars="200"/>
        <w:jc w:val="both"/>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2019年度科技局主动公开政府信息有84条。其中机构介绍4条，领导信息3条，工作动态53条</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通知公告3条</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规划计划3条</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人事信息5条</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财政信息8条</w:t>
      </w:r>
      <w:r>
        <w:rPr>
          <w:rFonts w:hint="eastAsia" w:ascii="Times New Roman" w:hAnsi="Times New Roman" w:eastAsia="仿宋_GB2312" w:cs="Times New Roman"/>
          <w:i w:val="0"/>
          <w:caps w:val="0"/>
          <w:color w:val="auto"/>
          <w:spacing w:val="0"/>
          <w:kern w:val="0"/>
          <w:sz w:val="32"/>
          <w:szCs w:val="32"/>
          <w:shd w:val="clear" w:fill="FFFFFF"/>
          <w:lang w:val="en-US" w:eastAsia="zh-CN" w:bidi="ar"/>
        </w:rPr>
        <w:t>，</w:t>
      </w:r>
      <w:r>
        <w:rPr>
          <w:rFonts w:hint="default" w:ascii="Times New Roman" w:hAnsi="Times New Roman" w:eastAsia="仿宋_GB2312" w:cs="Times New Roman"/>
          <w:i w:val="0"/>
          <w:caps w:val="0"/>
          <w:color w:val="auto"/>
          <w:spacing w:val="0"/>
          <w:kern w:val="0"/>
          <w:sz w:val="32"/>
          <w:szCs w:val="32"/>
          <w:shd w:val="clear" w:fill="FFFFFF"/>
          <w:lang w:val="en-US" w:eastAsia="zh-CN" w:bidi="ar"/>
        </w:rPr>
        <w:t>其他信息5</w:t>
      </w:r>
      <w:r>
        <w:rPr>
          <w:rFonts w:hint="eastAsia" w:ascii="仿宋_GB2312" w:hAnsi="仿宋_GB2312" w:eastAsia="仿宋_GB2312" w:cs="仿宋_GB2312"/>
          <w:i w:val="0"/>
          <w:caps w:val="0"/>
          <w:color w:val="auto"/>
          <w:spacing w:val="0"/>
          <w:kern w:val="0"/>
          <w:sz w:val="32"/>
          <w:szCs w:val="32"/>
          <w:shd w:val="clear" w:fill="FFFFFF"/>
          <w:lang w:val="en-US" w:eastAsia="zh-CN" w:bidi="ar"/>
        </w:rPr>
        <w:t>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二、主动公开政府信息情况</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napToGrid/>
        <w:spacing w:before="0" w:beforeAutospacing="0" w:after="0" w:afterAutospacing="0" w:line="580" w:lineRule="exact"/>
        <w:ind w:left="0" w:right="0" w:firstLine="42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
        </w:rPr>
      </w:pPr>
    </w:p>
    <w:tbl>
      <w:tblPr>
        <w:tblStyle w:val="6"/>
        <w:tblW w:w="8851" w:type="dxa"/>
        <w:jc w:val="center"/>
        <w:tblInd w:w="-167" w:type="dxa"/>
        <w:shd w:val="clear" w:color="auto" w:fill="auto"/>
        <w:tblLayout w:type="fixed"/>
        <w:tblCellMar>
          <w:top w:w="0" w:type="dxa"/>
          <w:left w:w="0" w:type="dxa"/>
          <w:bottom w:w="0" w:type="dxa"/>
          <w:right w:w="0" w:type="dxa"/>
        </w:tblCellMar>
      </w:tblPr>
      <w:tblGrid>
        <w:gridCol w:w="3267"/>
        <w:gridCol w:w="2079"/>
        <w:gridCol w:w="6"/>
        <w:gridCol w:w="1395"/>
        <w:gridCol w:w="2104"/>
      </w:tblGrid>
      <w:tr>
        <w:tblPrEx>
          <w:shd w:val="clear" w:color="auto" w:fill="auto"/>
          <w:tblLayout w:type="fixed"/>
          <w:tblCellMar>
            <w:top w:w="0" w:type="dxa"/>
            <w:left w:w="0" w:type="dxa"/>
            <w:bottom w:w="0" w:type="dxa"/>
            <w:right w:w="0" w:type="dxa"/>
          </w:tblCellMar>
        </w:tblPrEx>
        <w:trPr>
          <w:trHeight w:val="495" w:hRule="atLeast"/>
          <w:jc w:val="center"/>
        </w:trPr>
        <w:tc>
          <w:tcPr>
            <w:tcW w:w="8851"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第二十条第（一）项</w:t>
            </w:r>
          </w:p>
        </w:tc>
      </w:tr>
      <w:tr>
        <w:tblPrEx>
          <w:tblLayout w:type="fixed"/>
          <w:tblCellMar>
            <w:top w:w="0" w:type="dxa"/>
            <w:left w:w="0" w:type="dxa"/>
            <w:bottom w:w="0" w:type="dxa"/>
            <w:right w:w="0" w:type="dxa"/>
          </w:tblCellMar>
        </w:tblPrEx>
        <w:trPr>
          <w:trHeight w:val="882"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信息内容</w:t>
            </w:r>
          </w:p>
        </w:tc>
        <w:tc>
          <w:tcPr>
            <w:tcW w:w="20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本年新制作数量</w:t>
            </w:r>
          </w:p>
        </w:tc>
        <w:tc>
          <w:tcPr>
            <w:tcW w:w="140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本年新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公开数量</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对外公开总数量</w:t>
            </w:r>
          </w:p>
        </w:tc>
      </w:tr>
      <w:tr>
        <w:tblPrEx>
          <w:tblLayout w:type="fixed"/>
          <w:tblCellMar>
            <w:top w:w="0" w:type="dxa"/>
            <w:left w:w="0" w:type="dxa"/>
            <w:bottom w:w="0" w:type="dxa"/>
            <w:right w:w="0" w:type="dxa"/>
          </w:tblCellMar>
        </w:tblPrEx>
        <w:trPr>
          <w:trHeight w:val="523"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规章</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140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Layout w:type="fixed"/>
          <w:tblCellMar>
            <w:top w:w="0" w:type="dxa"/>
            <w:left w:w="0" w:type="dxa"/>
            <w:bottom w:w="0" w:type="dxa"/>
            <w:right w:w="0" w:type="dxa"/>
          </w:tblCellMar>
        </w:tblPrEx>
        <w:trPr>
          <w:trHeight w:val="471"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规范性文件</w:t>
            </w:r>
          </w:p>
        </w:tc>
        <w:tc>
          <w:tcPr>
            <w:tcW w:w="207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1401"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Layout w:type="fixed"/>
          <w:tblCellMar>
            <w:top w:w="0" w:type="dxa"/>
            <w:left w:w="0" w:type="dxa"/>
            <w:bottom w:w="0" w:type="dxa"/>
            <w:right w:w="0" w:type="dxa"/>
          </w:tblCellMar>
        </w:tblPrEx>
        <w:trPr>
          <w:trHeight w:val="480" w:hRule="atLeast"/>
          <w:jc w:val="center"/>
        </w:trPr>
        <w:tc>
          <w:tcPr>
            <w:tcW w:w="8851"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第二十条第（五）项</w:t>
            </w:r>
          </w:p>
        </w:tc>
      </w:tr>
      <w:tr>
        <w:tblPrEx>
          <w:tblLayout w:type="fixed"/>
          <w:tblCellMar>
            <w:top w:w="0" w:type="dxa"/>
            <w:left w:w="0" w:type="dxa"/>
            <w:bottom w:w="0" w:type="dxa"/>
            <w:right w:w="0" w:type="dxa"/>
          </w:tblCellMar>
        </w:tblPrEx>
        <w:trPr>
          <w:trHeight w:val="634"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信息内容</w:t>
            </w:r>
          </w:p>
        </w:tc>
        <w:tc>
          <w:tcPr>
            <w:tcW w:w="20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上一年项目数量</w:t>
            </w:r>
          </w:p>
        </w:tc>
        <w:tc>
          <w:tcPr>
            <w:tcW w:w="140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本年增/减</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处理决定数量</w:t>
            </w:r>
          </w:p>
        </w:tc>
      </w:tr>
      <w:tr>
        <w:tblPrEx>
          <w:tblLayout w:type="fixed"/>
          <w:tblCellMar>
            <w:top w:w="0" w:type="dxa"/>
            <w:left w:w="0" w:type="dxa"/>
            <w:bottom w:w="0" w:type="dxa"/>
            <w:right w:w="0" w:type="dxa"/>
          </w:tblCellMar>
        </w:tblPrEx>
        <w:trPr>
          <w:trHeight w:val="528"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行政许可</w:t>
            </w:r>
          </w:p>
        </w:tc>
        <w:tc>
          <w:tcPr>
            <w:tcW w:w="20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13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Layout w:type="fixed"/>
          <w:tblCellMar>
            <w:top w:w="0" w:type="dxa"/>
            <w:left w:w="0" w:type="dxa"/>
            <w:bottom w:w="0" w:type="dxa"/>
            <w:right w:w="0" w:type="dxa"/>
          </w:tblCellMar>
        </w:tblPrEx>
        <w:trPr>
          <w:trHeight w:val="550"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其他对外管理服务事项</w:t>
            </w:r>
          </w:p>
        </w:tc>
        <w:tc>
          <w:tcPr>
            <w:tcW w:w="20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3</w:t>
            </w:r>
          </w:p>
        </w:tc>
        <w:tc>
          <w:tcPr>
            <w:tcW w:w="13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+3</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531</w:t>
            </w:r>
          </w:p>
        </w:tc>
      </w:tr>
      <w:tr>
        <w:tblPrEx>
          <w:tblLayout w:type="fixed"/>
          <w:tblCellMar>
            <w:top w:w="0" w:type="dxa"/>
            <w:left w:w="0" w:type="dxa"/>
            <w:bottom w:w="0" w:type="dxa"/>
            <w:right w:w="0" w:type="dxa"/>
          </w:tblCellMar>
        </w:tblPrEx>
        <w:trPr>
          <w:trHeight w:val="406" w:hRule="atLeast"/>
          <w:jc w:val="center"/>
        </w:trPr>
        <w:tc>
          <w:tcPr>
            <w:tcW w:w="8851"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第二十条第（六）项</w:t>
            </w:r>
          </w:p>
        </w:tc>
      </w:tr>
      <w:tr>
        <w:tblPrEx>
          <w:tblLayout w:type="fixed"/>
          <w:tblCellMar>
            <w:top w:w="0" w:type="dxa"/>
            <w:left w:w="0" w:type="dxa"/>
            <w:bottom w:w="0" w:type="dxa"/>
            <w:right w:w="0" w:type="dxa"/>
          </w:tblCellMar>
        </w:tblPrEx>
        <w:trPr>
          <w:trHeight w:val="634"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信息内容</w:t>
            </w:r>
          </w:p>
        </w:tc>
        <w:tc>
          <w:tcPr>
            <w:tcW w:w="207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上一年项目数量</w:t>
            </w:r>
          </w:p>
        </w:tc>
        <w:tc>
          <w:tcPr>
            <w:tcW w:w="1401"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本年增/减</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处理决定数量</w:t>
            </w:r>
          </w:p>
        </w:tc>
      </w:tr>
      <w:tr>
        <w:tblPrEx>
          <w:tblLayout w:type="fixed"/>
          <w:tblCellMar>
            <w:top w:w="0" w:type="dxa"/>
            <w:left w:w="0" w:type="dxa"/>
            <w:bottom w:w="0" w:type="dxa"/>
            <w:right w:w="0" w:type="dxa"/>
          </w:tblCellMar>
        </w:tblPrEx>
        <w:trPr>
          <w:trHeight w:val="430"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行政处罚</w:t>
            </w:r>
          </w:p>
        </w:tc>
        <w:tc>
          <w:tcPr>
            <w:tcW w:w="20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4</w:t>
            </w:r>
          </w:p>
        </w:tc>
        <w:tc>
          <w:tcPr>
            <w:tcW w:w="13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-4</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Layout w:type="fixed"/>
          <w:tblCellMar>
            <w:top w:w="0" w:type="dxa"/>
            <w:left w:w="0" w:type="dxa"/>
            <w:bottom w:w="0" w:type="dxa"/>
            <w:right w:w="0" w:type="dxa"/>
          </w:tblCellMar>
        </w:tblPrEx>
        <w:trPr>
          <w:trHeight w:val="409"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行政强制</w:t>
            </w:r>
          </w:p>
        </w:tc>
        <w:tc>
          <w:tcPr>
            <w:tcW w:w="20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1</w:t>
            </w:r>
          </w:p>
        </w:tc>
        <w:tc>
          <w:tcPr>
            <w:tcW w:w="139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-1</w:t>
            </w:r>
          </w:p>
        </w:tc>
        <w:tc>
          <w:tcPr>
            <w:tcW w:w="21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Layout w:type="fixed"/>
          <w:tblCellMar>
            <w:top w:w="0" w:type="dxa"/>
            <w:left w:w="0" w:type="dxa"/>
            <w:bottom w:w="0" w:type="dxa"/>
            <w:right w:w="0" w:type="dxa"/>
          </w:tblCellMar>
        </w:tblPrEx>
        <w:trPr>
          <w:trHeight w:val="474" w:hRule="atLeast"/>
          <w:jc w:val="center"/>
        </w:trPr>
        <w:tc>
          <w:tcPr>
            <w:tcW w:w="8851"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第二十条第（八）项</w:t>
            </w:r>
          </w:p>
        </w:tc>
      </w:tr>
      <w:tr>
        <w:tblPrEx>
          <w:tblLayout w:type="fixed"/>
          <w:tblCellMar>
            <w:top w:w="0" w:type="dxa"/>
            <w:left w:w="0" w:type="dxa"/>
            <w:bottom w:w="0" w:type="dxa"/>
            <w:right w:w="0" w:type="dxa"/>
          </w:tblCellMar>
        </w:tblPrEx>
        <w:trPr>
          <w:trHeight w:val="270"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信息内容</w:t>
            </w:r>
          </w:p>
        </w:tc>
        <w:tc>
          <w:tcPr>
            <w:tcW w:w="20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上一年项目数量</w:t>
            </w:r>
          </w:p>
        </w:tc>
        <w:tc>
          <w:tcPr>
            <w:tcW w:w="3499"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本年增/减</w:t>
            </w:r>
          </w:p>
        </w:tc>
      </w:tr>
      <w:tr>
        <w:tblPrEx>
          <w:tblLayout w:type="fixed"/>
          <w:tblCellMar>
            <w:top w:w="0" w:type="dxa"/>
            <w:left w:w="0" w:type="dxa"/>
            <w:bottom w:w="0" w:type="dxa"/>
            <w:right w:w="0" w:type="dxa"/>
          </w:tblCellMar>
        </w:tblPrEx>
        <w:trPr>
          <w:trHeight w:val="551"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行政事业性收费</w:t>
            </w:r>
          </w:p>
        </w:tc>
        <w:tc>
          <w:tcPr>
            <w:tcW w:w="20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3499"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Layout w:type="fixed"/>
          <w:tblCellMar>
            <w:top w:w="0" w:type="dxa"/>
            <w:left w:w="0" w:type="dxa"/>
            <w:bottom w:w="0" w:type="dxa"/>
            <w:right w:w="0" w:type="dxa"/>
          </w:tblCellMar>
        </w:tblPrEx>
        <w:trPr>
          <w:trHeight w:val="476" w:hRule="atLeast"/>
          <w:jc w:val="center"/>
        </w:trPr>
        <w:tc>
          <w:tcPr>
            <w:tcW w:w="8851"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第二十条第（九）项</w:t>
            </w:r>
          </w:p>
        </w:tc>
      </w:tr>
      <w:tr>
        <w:tblPrEx>
          <w:tblLayout w:type="fixed"/>
          <w:tblCellMar>
            <w:top w:w="0" w:type="dxa"/>
            <w:left w:w="0" w:type="dxa"/>
            <w:bottom w:w="0" w:type="dxa"/>
            <w:right w:w="0" w:type="dxa"/>
          </w:tblCellMar>
        </w:tblPrEx>
        <w:trPr>
          <w:trHeight w:val="585"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信息内容</w:t>
            </w:r>
          </w:p>
        </w:tc>
        <w:tc>
          <w:tcPr>
            <w:tcW w:w="20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采购项目数量</w:t>
            </w:r>
          </w:p>
        </w:tc>
        <w:tc>
          <w:tcPr>
            <w:tcW w:w="3499" w:type="dxa"/>
            <w:gridSpan w:val="2"/>
            <w:tcBorders>
              <w:top w:val="single" w:color="auto" w:sz="8" w:space="0"/>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采购总金额（元）</w:t>
            </w:r>
          </w:p>
        </w:tc>
      </w:tr>
      <w:tr>
        <w:tblPrEx>
          <w:tblLayout w:type="fixed"/>
          <w:tblCellMar>
            <w:top w:w="0" w:type="dxa"/>
            <w:left w:w="0" w:type="dxa"/>
            <w:bottom w:w="0" w:type="dxa"/>
            <w:right w:w="0" w:type="dxa"/>
          </w:tblCellMar>
        </w:tblPrEx>
        <w:trPr>
          <w:trHeight w:val="539" w:hRule="atLeast"/>
          <w:jc w:val="center"/>
        </w:trPr>
        <w:tc>
          <w:tcPr>
            <w:tcW w:w="326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政府集中采购</w:t>
            </w:r>
          </w:p>
        </w:tc>
        <w:tc>
          <w:tcPr>
            <w:tcW w:w="2085"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14</w:t>
            </w:r>
          </w:p>
        </w:tc>
        <w:tc>
          <w:tcPr>
            <w:tcW w:w="3499" w:type="dxa"/>
            <w:gridSpan w:val="2"/>
            <w:tcBorders>
              <w:top w:val="nil"/>
              <w:left w:val="nil"/>
              <w:bottom w:val="single" w:color="auto" w:sz="8" w:space="0"/>
              <w:right w:val="single" w:color="000000"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129014</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i w:val="0"/>
          <w:caps w:val="0"/>
          <w:color w:val="auto"/>
          <w:spacing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三、收到和处理政府信息公开申请情况</w:t>
      </w:r>
    </w:p>
    <w:tbl>
      <w:tblPr>
        <w:tblStyle w:val="6"/>
        <w:tblW w:w="8840"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18"/>
        <w:gridCol w:w="854"/>
        <w:gridCol w:w="2086"/>
        <w:gridCol w:w="739"/>
        <w:gridCol w:w="765"/>
        <w:gridCol w:w="735"/>
        <w:gridCol w:w="735"/>
        <w:gridCol w:w="810"/>
        <w:gridCol w:w="740"/>
        <w:gridCol w:w="75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55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（本列数据的勾稽关系为：第一项加第二项之和，等于第三项加第四项之和）</w:t>
            </w:r>
          </w:p>
        </w:tc>
        <w:tc>
          <w:tcPr>
            <w:tcW w:w="5282"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73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自然人</w:t>
            </w:r>
          </w:p>
        </w:tc>
        <w:tc>
          <w:tcPr>
            <w:tcW w:w="378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法人或其他组织</w:t>
            </w:r>
          </w:p>
        </w:tc>
        <w:tc>
          <w:tcPr>
            <w:tcW w:w="7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1005" w:hRule="atLeast"/>
          <w:jc w:val="center"/>
        </w:trPr>
        <w:tc>
          <w:tcPr>
            <w:tcW w:w="355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73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auto"/>
                <w:sz w:val="24"/>
                <w:szCs w:val="24"/>
              </w:rPr>
            </w:pP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商业企业</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科研机构</w:t>
            </w:r>
          </w:p>
        </w:tc>
        <w:tc>
          <w:tcPr>
            <w:tcW w:w="7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0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社会公益组织</w:t>
            </w:r>
          </w:p>
        </w:tc>
        <w:tc>
          <w:tcPr>
            <w:tcW w:w="81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00" w:lineRule="exact"/>
              <w:ind w:left="0" w:right="0"/>
              <w:jc w:val="center"/>
              <w:textAlignment w:val="auto"/>
              <w:outlineLvl w:val="9"/>
              <w:rPr>
                <w:rFonts w:hint="eastAsia" w:ascii="仿宋_GB2312" w:hAnsi="仿宋_GB2312" w:eastAsia="仿宋_GB2312" w:cs="仿宋_GB2312"/>
                <w:color w:val="auto"/>
                <w:kern w:val="0"/>
                <w:sz w:val="24"/>
                <w:szCs w:val="24"/>
                <w:lang w:val="en-US" w:eastAsia="zh-CN" w:bidi="ar"/>
              </w:rPr>
            </w:pPr>
            <w:r>
              <w:rPr>
                <w:rFonts w:hint="eastAsia" w:ascii="仿宋_GB2312" w:hAnsi="仿宋_GB2312" w:eastAsia="仿宋_GB2312" w:cs="仿宋_GB2312"/>
                <w:color w:val="auto"/>
                <w:kern w:val="0"/>
                <w:sz w:val="24"/>
                <w:szCs w:val="24"/>
                <w:lang w:val="en-US" w:eastAsia="zh-CN" w:bidi="ar"/>
              </w:rPr>
              <w:t>法律服务机构</w:t>
            </w:r>
          </w:p>
        </w:tc>
        <w:tc>
          <w:tcPr>
            <w:tcW w:w="7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其他</w:t>
            </w:r>
          </w:p>
        </w:tc>
        <w:tc>
          <w:tcPr>
            <w:tcW w:w="7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5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一、本年新收政府信息公开申请数量</w:t>
            </w:r>
          </w:p>
        </w:tc>
        <w:tc>
          <w:tcPr>
            <w:tcW w:w="739"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jc w:val="center"/>
        </w:trPr>
        <w:tc>
          <w:tcPr>
            <w:tcW w:w="3558" w:type="dxa"/>
            <w:gridSpan w:val="3"/>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二、上年结转政府信息公开申请数量</w:t>
            </w:r>
          </w:p>
        </w:tc>
        <w:tc>
          <w:tcPr>
            <w:tcW w:w="73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三、本年度办理结果</w:t>
            </w: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（一）予以公开</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（二）部分公开（区分处理的，只计这一情形，不计其他情形）</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（三）不予公开</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1.属于国家秘密</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2.其他法律行政法规禁止公开</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3.危及“三安全一稳定”</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4.保护第三方合法权益</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5.属于三类内部事务信息</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6.属于四类过程性信息</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7.属于行政执法案卷</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8.属于行政查询事项</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（四）无法提供</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1.本机关不掌握相关政府信息</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2.没有现成信息需要另行制作</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3.补正后申请内容仍不明确</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（五）不予处理</w:t>
            </w: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1.信访举报投诉类申请</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2.重复申请</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3.要求提供公开出版物</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4.无正当理由大量反复申请</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85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086"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5.要求行政机关确认或重新出具已获取信息</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（六）其他处理</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18"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2940"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（七）总计</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355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left"/>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四、结转下年度继续办理</w:t>
            </w:r>
          </w:p>
        </w:tc>
        <w:tc>
          <w:tcPr>
            <w:tcW w:w="739"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6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3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81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40"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7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hd w:val="clea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left="0" w:right="0" w:firstLine="420"/>
        <w:jc w:val="both"/>
        <w:textAlignment w:val="auto"/>
        <w:outlineLvl w:val="9"/>
        <w:rPr>
          <w:rFonts w:hint="eastAsia" w:ascii="仿宋_GB2312" w:hAnsi="仿宋_GB2312" w:eastAsia="仿宋_GB2312" w:cs="仿宋_GB2312"/>
          <w:b/>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四、政府信息公开行政复议、行政诉讼情况</w:t>
      </w:r>
    </w:p>
    <w:tbl>
      <w:tblPr>
        <w:tblStyle w:val="6"/>
        <w:tblW w:w="8852" w:type="dxa"/>
        <w:jc w:val="center"/>
        <w:tblInd w:w="-274"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04"/>
        <w:gridCol w:w="604"/>
        <w:gridCol w:w="604"/>
        <w:gridCol w:w="604"/>
        <w:gridCol w:w="658"/>
        <w:gridCol w:w="577"/>
        <w:gridCol w:w="577"/>
        <w:gridCol w:w="577"/>
        <w:gridCol w:w="577"/>
        <w:gridCol w:w="577"/>
        <w:gridCol w:w="577"/>
        <w:gridCol w:w="577"/>
        <w:gridCol w:w="577"/>
        <w:gridCol w:w="577"/>
        <w:gridCol w:w="5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560"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行政复议</w:t>
            </w:r>
          </w:p>
        </w:tc>
        <w:tc>
          <w:tcPr>
            <w:tcW w:w="5778"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结果维持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尚未审结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总计</w:t>
            </w:r>
          </w:p>
        </w:tc>
        <w:tc>
          <w:tcPr>
            <w:tcW w:w="288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未经复议直接起诉</w:t>
            </w:r>
          </w:p>
        </w:tc>
        <w:tc>
          <w:tcPr>
            <w:tcW w:w="2893"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sz w:val="24"/>
                <w:szCs w:val="24"/>
              </w:rPr>
            </w:pP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结果维持</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结果纠正</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其他结果</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尚未审结</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总计</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结果维持</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结果纠正</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其他结果</w:t>
            </w:r>
          </w:p>
        </w:tc>
        <w:tc>
          <w:tcPr>
            <w:tcW w:w="57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尚未审结</w:t>
            </w:r>
          </w:p>
        </w:tc>
        <w:tc>
          <w:tcPr>
            <w:tcW w:w="58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65" w:hRule="atLeast"/>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77"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Autospacing="0" w:line="360" w:lineRule="exact"/>
              <w:ind w:left="0" w:right="0"/>
              <w:jc w:val="center"/>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kern w:val="0"/>
                <w:sz w:val="24"/>
                <w:szCs w:val="24"/>
                <w:lang w:val="en-US" w:eastAsia="zh-CN" w:bidi="ar"/>
              </w:rPr>
              <w:t>0</w:t>
            </w:r>
          </w:p>
        </w:tc>
        <w:tc>
          <w:tcPr>
            <w:tcW w:w="585"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shd w:val="clear"/>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79" w:lineRule="exact"/>
        <w:ind w:left="0" w:right="0" w:firstLine="0"/>
        <w:jc w:val="center"/>
        <w:textAlignment w:val="auto"/>
        <w:outlineLvl w:val="9"/>
        <w:rPr>
          <w:rFonts w:hint="eastAsia" w:ascii="仿宋_GB2312" w:hAnsi="仿宋_GB2312" w:eastAsia="仿宋_GB2312" w:cs="仿宋_GB2312"/>
          <w:i w:val="0"/>
          <w:caps w:val="0"/>
          <w:color w:val="auto"/>
          <w:spacing w:val="0"/>
          <w:sz w:val="21"/>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仿宋_GB2312" w:hAnsi="仿宋_GB2312" w:eastAsia="仿宋_GB2312" w:cs="仿宋_GB2312"/>
          <w:i w:val="0"/>
          <w:caps w:val="0"/>
          <w:color w:val="auto"/>
          <w:spacing w:val="0"/>
          <w:kern w:val="0"/>
          <w:sz w:val="32"/>
          <w:szCs w:val="32"/>
          <w:shd w:val="clear" w:fill="FFFFFF"/>
          <w:lang w:val="en-US" w:eastAsia="zh-CN" w:bidi="ar"/>
        </w:rPr>
      </w:pPr>
      <w:r>
        <w:rPr>
          <w:rFonts w:hint="default" w:ascii="Times New Roman" w:hAnsi="Times New Roman" w:eastAsia="仿宋_GB2312" w:cs="Times New Roman"/>
          <w:i w:val="0"/>
          <w:caps w:val="0"/>
          <w:color w:val="auto"/>
          <w:spacing w:val="0"/>
          <w:kern w:val="0"/>
          <w:sz w:val="32"/>
          <w:szCs w:val="32"/>
          <w:shd w:val="clear" w:fill="FFFFFF"/>
          <w:lang w:val="en-US" w:eastAsia="zh-CN" w:bidi="ar"/>
        </w:rPr>
        <w:t>2019</w:t>
      </w:r>
      <w:r>
        <w:rPr>
          <w:rFonts w:hint="eastAsia" w:ascii="仿宋_GB2312" w:hAnsi="仿宋_GB2312" w:eastAsia="仿宋_GB2312" w:cs="仿宋_GB2312"/>
          <w:i w:val="0"/>
          <w:caps w:val="0"/>
          <w:color w:val="auto"/>
          <w:spacing w:val="0"/>
          <w:kern w:val="0"/>
          <w:sz w:val="32"/>
          <w:szCs w:val="32"/>
          <w:shd w:val="clear" w:fill="FFFFFF"/>
          <w:lang w:val="en-US" w:eastAsia="zh-CN" w:bidi="ar"/>
        </w:rPr>
        <w:t>年，科技局政府信息公开工作虽然取得了一定的成绩，但仍然还存在一些不足。例如：信息的时间有效性方面还有待加强。一是提高认识，从思想上进一步提高科技、科协系统各级部门对政府信息公开工作重要意义的认识和贯彻落实的主动性和自觉性，督促相关人员切实履行职责，深入扎实地推进政府信息公开工作。二是不断拓展信息公开途径，不断完善和拓展区科技信息网的服务功能，积极探索新的政府信息公开形式，保障社会公众更便捷地获取政府信息。三是加强培训力度，进一步提高领导干部和相关工作人员在政府信息公开工作中的业务能力，不断提高信息公开的规范性。四是严格落实监督检查制度，按照上级关于政务信息公开有关规定和要求，进一步规范信息报送制度，确保公开信息的完整性、准确性和及时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黑体" w:hAnsi="黑体" w:eastAsia="黑体" w:cs="黑体"/>
          <w:b w:val="0"/>
          <w:bCs w:val="0"/>
          <w:i w:val="0"/>
          <w:caps w:val="0"/>
          <w:color w:val="auto"/>
          <w:spacing w:val="0"/>
          <w:kern w:val="0"/>
          <w:sz w:val="32"/>
          <w:szCs w:val="32"/>
          <w:shd w:val="clear" w:fill="FFFFFF"/>
          <w:lang w:val="en-US" w:eastAsia="zh-CN" w:bidi="ar"/>
        </w:rPr>
      </w:pPr>
      <w:r>
        <w:rPr>
          <w:rFonts w:hint="eastAsia" w:ascii="黑体" w:hAnsi="黑体" w:eastAsia="黑体" w:cs="黑体"/>
          <w:b w:val="0"/>
          <w:bCs w:val="0"/>
          <w:i w:val="0"/>
          <w:caps w:val="0"/>
          <w:color w:val="auto"/>
          <w:spacing w:val="0"/>
          <w:kern w:val="0"/>
          <w:sz w:val="32"/>
          <w:szCs w:val="32"/>
          <w:shd w:val="clear" w:fill="FFFFFF"/>
          <w:lang w:val="en-US" w:eastAsia="zh-CN" w:bidi="ar"/>
        </w:rPr>
        <w:t>六、其他需要报告的事项</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r>
        <w:rPr>
          <w:rFonts w:hint="eastAsia" w:ascii="仿宋_GB2312" w:hAnsi="仿宋_GB2312" w:eastAsia="仿宋_GB2312" w:cs="仿宋_GB2312"/>
          <w:i w:val="0"/>
          <w:caps w:val="0"/>
          <w:color w:val="auto"/>
          <w:spacing w:val="0"/>
          <w:sz w:val="32"/>
          <w:szCs w:val="32"/>
          <w:shd w:val="clear" w:fill="FFFFFF"/>
          <w:lang w:eastAsia="zh-CN"/>
        </w:rPr>
        <w:t>无。</w:t>
      </w:r>
    </w:p>
    <w:p>
      <w:pPr>
        <w:keepNext w:val="0"/>
        <w:keepLines w:val="0"/>
        <w:pageBreakBefore w:val="0"/>
        <w:shd w:val="clear"/>
        <w:kinsoku/>
        <w:wordWrap/>
        <w:overflowPunct/>
        <w:topLinePunct w:val="0"/>
        <w:autoSpaceDE/>
        <w:autoSpaceDN/>
        <w:bidi w:val="0"/>
        <w:adjustRightInd/>
        <w:snapToGrid/>
        <w:spacing w:line="580" w:lineRule="exact"/>
        <w:ind w:firstLine="640" w:firstLineChars="200"/>
        <w:jc w:val="left"/>
        <w:textAlignment w:val="auto"/>
        <w:outlineLvl w:val="9"/>
        <w:rPr>
          <w:rFonts w:hint="eastAsia" w:ascii="仿宋_GB2312" w:hAnsi="仿宋_GB2312" w:eastAsia="仿宋_GB2312" w:cs="仿宋_GB2312"/>
          <w:i w:val="0"/>
          <w:caps w:val="0"/>
          <w:color w:val="auto"/>
          <w:spacing w:val="0"/>
          <w:sz w:val="32"/>
          <w:szCs w:val="32"/>
          <w:shd w:val="clear" w:fill="FFFFFF"/>
          <w:lang w:eastAsia="zh-CN"/>
        </w:rPr>
      </w:pPr>
    </w:p>
    <w:p>
      <w:pPr>
        <w:keepNext w:val="0"/>
        <w:keepLines w:val="0"/>
        <w:pageBreakBefore w:val="0"/>
        <w:shd w:val="clear"/>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shd w:val="clear"/>
        <w:kinsoku/>
        <w:wordWrap/>
        <w:overflowPunct/>
        <w:topLinePunct w:val="0"/>
        <w:autoSpaceDE/>
        <w:autoSpaceDN/>
        <w:bidi w:val="0"/>
        <w:adjustRightInd/>
        <w:snapToGrid/>
        <w:spacing w:line="580" w:lineRule="exact"/>
        <w:ind w:left="0" w:leftChars="0" w:firstLine="5257" w:firstLineChars="1643"/>
        <w:jc w:val="center"/>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开福区科技局</w:t>
      </w:r>
    </w:p>
    <w:p>
      <w:pPr>
        <w:keepNext w:val="0"/>
        <w:keepLines w:val="0"/>
        <w:pageBreakBefore w:val="0"/>
        <w:shd w:val="clear"/>
        <w:kinsoku/>
        <w:wordWrap/>
        <w:overflowPunct/>
        <w:topLinePunct w:val="0"/>
        <w:autoSpaceDE/>
        <w:autoSpaceDN/>
        <w:bidi w:val="0"/>
        <w:adjustRightInd/>
        <w:snapToGrid/>
        <w:spacing w:line="580" w:lineRule="exact"/>
        <w:ind w:left="0" w:leftChars="0" w:firstLine="5257" w:firstLineChars="1643"/>
        <w:jc w:val="center"/>
        <w:textAlignment w:val="auto"/>
        <w:outlineLvl w:val="9"/>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lang w:val="en-US" w:eastAsia="zh-CN"/>
        </w:rPr>
        <w:t>2020年1月</w:t>
      </w:r>
      <w:r>
        <w:rPr>
          <w:rFonts w:hint="eastAsia" w:ascii="Times New Roman" w:hAnsi="Times New Roman" w:eastAsia="仿宋_GB2312" w:cs="Times New Roman"/>
          <w:color w:val="auto"/>
          <w:sz w:val="32"/>
          <w:szCs w:val="32"/>
          <w:lang w:val="en-US" w:eastAsia="zh-CN"/>
        </w:rPr>
        <w:t>15</w:t>
      </w:r>
      <w:r>
        <w:rPr>
          <w:rFonts w:hint="eastAsia" w:ascii="仿宋_GB2312" w:hAnsi="仿宋_GB2312" w:eastAsia="仿宋_GB2312" w:cs="仿宋_GB2312"/>
          <w:color w:val="auto"/>
          <w:sz w:val="32"/>
          <w:szCs w:val="32"/>
          <w:lang w:val="en-US" w:eastAsia="zh-CN"/>
        </w:rPr>
        <w:t>日</w:t>
      </w:r>
      <w:bookmarkStart w:id="0" w:name="_GoBack"/>
      <w:bookmarkEnd w:id="0"/>
    </w:p>
    <w:sectPr>
      <w:footerReference r:id="rId3" w:type="default"/>
      <w:pgSz w:w="11906" w:h="16838"/>
      <w:pgMar w:top="2098" w:right="1474" w:bottom="1928" w:left="1587" w:header="851" w:footer="1474" w:gutter="0"/>
      <w:pgBorders>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40385" cy="26924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0385" cy="2692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1.2pt;width:42.55pt;mso-position-horizontal:center;mso-position-horizontal-relative:margin;z-index:251658240;mso-width-relative:page;mso-height-relative:page;" filled="f" stroked="f" coordsize="21600,21600" o:gfxdata="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GJ66v0wAAAAMBAAAPAAAA&#10;AAAAAAEAIAAAACIAAABkcnMvZG93bnJldi54bWxQSwECFAAUAAAACACHTuJAOQBbQxoCAAATBAAA&#10;DgAAAAAAAAABACAAAAAiAQAAZHJzL2Uyb0RvYy54bWxQSwUGAAAAAAYABgBZAQAArgUAAAAA&#10;">
              <v:fill on="f" focussize="0,0"/>
              <v:stroke on="f" weight="0.5pt"/>
              <v:imagedata o:title=""/>
              <o:lock v:ext="edit" aspectratio="f"/>
              <v:textbox inset="0mm,0mm,0mm,0mm">
                <w:txbxContent>
                  <w:p>
                    <w:pPr>
                      <w:pStyle w:val="2"/>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
  <w:drawingGridVerticalSpacing w:val="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8140DE"/>
    <w:rsid w:val="02A704B3"/>
    <w:rsid w:val="0A4342ED"/>
    <w:rsid w:val="0D8A52CE"/>
    <w:rsid w:val="0DBC620A"/>
    <w:rsid w:val="125E5CA0"/>
    <w:rsid w:val="12F535F9"/>
    <w:rsid w:val="17E55587"/>
    <w:rsid w:val="18303041"/>
    <w:rsid w:val="1A102D12"/>
    <w:rsid w:val="1BFD637D"/>
    <w:rsid w:val="206E56CD"/>
    <w:rsid w:val="215273A2"/>
    <w:rsid w:val="22491A69"/>
    <w:rsid w:val="2BF53066"/>
    <w:rsid w:val="2ED25278"/>
    <w:rsid w:val="3068599B"/>
    <w:rsid w:val="3823328B"/>
    <w:rsid w:val="3C5F60A5"/>
    <w:rsid w:val="3E6650AD"/>
    <w:rsid w:val="3E883120"/>
    <w:rsid w:val="43C42976"/>
    <w:rsid w:val="4501087B"/>
    <w:rsid w:val="451E12F5"/>
    <w:rsid w:val="473A156B"/>
    <w:rsid w:val="473C193B"/>
    <w:rsid w:val="48CE16EE"/>
    <w:rsid w:val="495B0772"/>
    <w:rsid w:val="4A08454E"/>
    <w:rsid w:val="4E664D34"/>
    <w:rsid w:val="53526356"/>
    <w:rsid w:val="546344A5"/>
    <w:rsid w:val="5DEE5376"/>
    <w:rsid w:val="5E6E4E17"/>
    <w:rsid w:val="5E7E3250"/>
    <w:rsid w:val="60107581"/>
    <w:rsid w:val="6F8B28F4"/>
    <w:rsid w:val="70572A8C"/>
    <w:rsid w:val="72BD0F40"/>
    <w:rsid w:val="73624381"/>
    <w:rsid w:val="794543B0"/>
    <w:rsid w:val="79674D98"/>
    <w:rsid w:val="79FF6882"/>
    <w:rsid w:val="7ABC6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415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2020-02-03T03:43:10Z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