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hint="eastAsia" w:ascii="宋体" w:hAnsi="宋体" w:eastAsia="宋体" w:cs="宋体"/>
          <w:b/>
          <w:bCs/>
          <w:color w:val="auto"/>
          <w:sz w:val="44"/>
          <w:szCs w:val="44"/>
        </w:rPr>
      </w:pPr>
      <w:r>
        <w:rPr>
          <w:rFonts w:hint="eastAsia" w:ascii="宋体" w:hAnsi="宋体" w:eastAsia="宋体" w:cs="宋体"/>
          <w:b/>
          <w:bCs/>
          <w:color w:val="auto"/>
          <w:sz w:val="44"/>
          <w:szCs w:val="44"/>
        </w:rPr>
        <w:t xml:space="preserve"> </w:t>
      </w:r>
      <w:r>
        <w:rPr>
          <w:rFonts w:hint="eastAsia" w:ascii="仿宋" w:hAnsi="仿宋" w:eastAsia="仿宋" w:cs="仿宋"/>
          <w:b/>
          <w:bCs/>
          <w:color w:val="auto"/>
          <w:kern w:val="0"/>
          <w:sz w:val="48"/>
          <w:szCs w:val="48"/>
          <w:lang w:val="en-US" w:eastAsia="zh-CN"/>
        </w:rPr>
        <w:t>2021</w:t>
      </w:r>
      <w:r>
        <w:rPr>
          <w:rFonts w:hint="eastAsia" w:ascii="仿宋" w:hAnsi="仿宋" w:eastAsia="仿宋" w:cs="仿宋"/>
          <w:b/>
          <w:bCs/>
          <w:color w:val="auto"/>
          <w:kern w:val="0"/>
          <w:sz w:val="48"/>
          <w:szCs w:val="48"/>
        </w:rPr>
        <w:t>年</w:t>
      </w:r>
      <w:r>
        <w:rPr>
          <w:rFonts w:hint="eastAsia" w:ascii="宋体" w:hAnsi="宋体" w:eastAsia="宋体" w:cs="宋体"/>
          <w:b/>
          <w:bCs/>
          <w:color w:val="auto"/>
          <w:sz w:val="44"/>
          <w:szCs w:val="44"/>
        </w:rPr>
        <w:t>长沙市开福区科学技术局部门预算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hint="eastAsia" w:ascii="宋体" w:hAnsi="宋体" w:eastAsia="宋体" w:cs="宋体"/>
          <w:b/>
          <w:bCs/>
          <w:color w:val="auto"/>
          <w:sz w:val="44"/>
          <w:szCs w:val="44"/>
        </w:rPr>
      </w:pP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auto"/>
          <w:kern w:val="0"/>
          <w:sz w:val="32"/>
          <w:szCs w:val="32"/>
        </w:rPr>
      </w:pPr>
      <w:r>
        <w:rPr>
          <w:rFonts w:eastAsia="黑体"/>
          <w:bCs/>
          <w:color w:val="auto"/>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七、名词解释</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4、财政拨款收支</w:t>
      </w:r>
      <w:r>
        <w:rPr>
          <w:rFonts w:hint="eastAsia" w:ascii="仿宋" w:hAnsi="仿宋" w:eastAsia="仿宋" w:cs="仿宋"/>
          <w:color w:val="auto"/>
          <w:sz w:val="32"/>
          <w:szCs w:val="32"/>
          <w:lang w:val="en-US" w:eastAsia="zh-CN"/>
        </w:rPr>
        <w:t>总</w:t>
      </w:r>
      <w:r>
        <w:rPr>
          <w:rFonts w:hint="eastAsia" w:ascii="仿宋" w:hAnsi="仿宋" w:eastAsia="仿宋" w:cs="仿宋"/>
          <w:color w:val="auto"/>
          <w:sz w:val="32"/>
          <w:szCs w:val="32"/>
        </w:rPr>
        <w:t>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rPr>
        <w:t>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_GBK"/>
          <w:bCs/>
          <w:color w:val="auto"/>
          <w:kern w:val="0"/>
          <w:sz w:val="36"/>
          <w:szCs w:val="36"/>
        </w:rPr>
      </w:pPr>
      <w:r>
        <w:rPr>
          <w:rFonts w:hint="eastAsia" w:ascii="黑体" w:hAnsi="黑体" w:eastAsia="黑体" w:cs="黑体"/>
          <w:b/>
          <w:bCs w:val="0"/>
          <w:color w:val="auto"/>
          <w:kern w:val="0"/>
          <w:sz w:val="44"/>
          <w:szCs w:val="44"/>
        </w:rPr>
        <w:t xml:space="preserve">第一部分 </w:t>
      </w:r>
      <w:r>
        <w:rPr>
          <w:rFonts w:hint="eastAsia" w:ascii="黑体" w:hAnsi="黑体" w:eastAsia="黑体" w:cs="黑体"/>
          <w:b/>
          <w:bCs w:val="0"/>
          <w:color w:val="auto"/>
          <w:kern w:val="0"/>
          <w:sz w:val="44"/>
          <w:szCs w:val="44"/>
          <w:lang w:val="en-US" w:eastAsia="zh-CN"/>
        </w:rPr>
        <w:t>2021年</w:t>
      </w:r>
      <w:r>
        <w:rPr>
          <w:rFonts w:hint="eastAsia" w:ascii="黑体" w:hAnsi="黑体" w:eastAsia="黑体" w:cs="黑体"/>
          <w:b/>
          <w:bCs w:val="0"/>
          <w:color w:val="auto"/>
          <w:kern w:val="0"/>
          <w:sz w:val="44"/>
          <w:szCs w:val="44"/>
        </w:rPr>
        <w:t>部门预算说明</w:t>
      </w:r>
    </w:p>
    <w:p>
      <w:pPr>
        <w:keepNext w:val="0"/>
        <w:keepLines w:val="0"/>
        <w:pageBreakBefore w:val="0"/>
        <w:widowControl/>
        <w:kinsoku/>
        <w:wordWrap/>
        <w:overflowPunct/>
        <w:topLinePunct w:val="0"/>
        <w:autoSpaceDE/>
        <w:autoSpaceDN/>
        <w:bidi w:val="0"/>
        <w:adjustRightInd/>
        <w:snapToGrid/>
        <w:spacing w:line="600" w:lineRule="exact"/>
        <w:ind w:firstLine="570"/>
        <w:textAlignment w:val="auto"/>
        <w:rPr>
          <w:rFonts w:hint="eastAsia" w:ascii="宋体" w:hAnsi="宋体" w:eastAsia="宋体" w:cs="宋体"/>
          <w:color w:val="auto"/>
          <w:kern w:val="0"/>
          <w:szCs w:val="21"/>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color w:val="auto"/>
          <w:kern w:val="0"/>
          <w:sz w:val="32"/>
          <w:szCs w:val="32"/>
        </w:rPr>
      </w:pPr>
      <w:r>
        <w:rPr>
          <w:rFonts w:eastAsia="黑体"/>
          <w:bCs/>
          <w:color w:val="auto"/>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（一）职能职责。</w:t>
      </w:r>
      <w:r>
        <w:rPr>
          <w:rFonts w:hint="eastAsia" w:ascii="仿宋" w:hAnsi="仿宋" w:eastAsia="仿宋" w:cs="仿宋"/>
          <w:color w:val="auto"/>
          <w:sz w:val="32"/>
          <w:szCs w:val="32"/>
          <w:highlight w:val="none"/>
        </w:rPr>
        <w:t>开福区科技局主要职责是：贯彻创新驱动发展战略和创新引领开放崛起战略，拟定全区科技创新发展、引进国外及国内智力规划和政策并组织实施；统筹推进全区科技创新体系建设和科技体制改革，推动企业科技创新能力建设；拟定科学普及和科学传播规划、政策；统筹推进创新型城区建设；承担区科技创新专项资金协调、组织评审和项目立项工作；会同有关部门提出优化配置科技资源的政策措施建议，推动多元化科技投入体系建设，协调管理区级财政科技计划并组织实施；编制区级科技项目计划并组织实施，统筹关键共性技术、前言引领技术、现代工程技术、颠覆性技术研发和创新，牵头组织重大科技攻关和成果应用示范；组织拟订高新技术发展及产业化、科技促进农业农村和社会发展的规划、政策和措施；提出科技成果转移转化和促进产学研结合的相关政策措施并组织实施；指导科技创新平台、科技服务业、技术市场、科技金融结合和科技中介组织发展；知道区域创新发展、科技资源开放共享；拟定科技对外交往与创新能力开发合作的规划、政策和措施，组织开展国际和区域科技合作与科技人才交流；负责引进国外和国内智力工作；负责外国专家管理职责；完成区委、区政府交办的其他任务；围绕贯彻实施科教兴国战略、人才强国战略、创新驱动发展战略和创新引领开放崛起战略，加强、优化、转变政府科技管理和服务职能，完善科技创新制度和组织体系，加强宏观管理和统筹协调，减少微观管理和具体审批事项，加强事中事后监管和科研诚信建设，从研发管理向创新服务转变，深入推进科技计划管理改革，减少科技计划项目配置中的重复、分散、封闭、低效现象。进一步改进科技人才评价机制，建立以创新能力、质量、贡献、绩效为导向的科技人才评价体系和激励政策，统筹区域内科技人才队伍建设和引进国内外智力工作。</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（二）机构设置。</w:t>
      </w:r>
      <w:r>
        <w:rPr>
          <w:rFonts w:hint="eastAsia" w:ascii="仿宋" w:hAnsi="仿宋" w:eastAsia="仿宋" w:cs="仿宋"/>
          <w:color w:val="auto"/>
          <w:sz w:val="32"/>
          <w:szCs w:val="32"/>
          <w:highlight w:val="none"/>
        </w:rPr>
        <w:t>本部门由1个行政单位构成，无二级机构。区科技局有内3个职能科室：办公室（行政审批和政务服务科）、产业项目科、创新发展科。本部门编制数7人，在职人数12人，其中：在岗人数12人；编外长期聘用人员0人；离退休人数5人，其中离休人员0人，退休人员5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长沙市开福区科学技术局只有区本级，没有其他预算单位，因此本部门预算仅含级本级预算。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（一）收入预算：</w:t>
      </w:r>
      <w:r>
        <w:rPr>
          <w:rFonts w:hint="eastAsia" w:ascii="仿宋" w:hAnsi="仿宋" w:eastAsia="仿宋" w:cs="仿宋"/>
          <w:color w:val="auto"/>
          <w:sz w:val="32"/>
          <w:szCs w:val="32"/>
          <w:highlight w:val="none"/>
        </w:rPr>
        <w:t>包括一般公共预算、政府性基金、国有资本经营预算等财政拨款收入，以及经营收入、事业收入等单位资金。2021年本部门收入预算594.77万元，其中，一般公共预算拨款594.77万元，政府性基金预算拨款0万元，国有资本经营预算拨款 0 万元，纳入专户管理的非税收入 0 万元。收入较去年增加 60.12 万元，</w:t>
      </w:r>
      <w:r>
        <w:rPr>
          <w:rFonts w:hint="eastAsia" w:ascii="仿宋" w:hAnsi="仿宋" w:eastAsia="仿宋" w:cs="仿宋"/>
          <w:color w:val="auto"/>
          <w:sz w:val="32"/>
          <w:szCs w:val="32"/>
          <w:highlight w:val="none"/>
          <w:lang w:eastAsia="zh-CN"/>
        </w:rPr>
        <w:t>上升</w:t>
      </w:r>
      <w:r>
        <w:rPr>
          <w:rFonts w:hint="eastAsia" w:ascii="仿宋" w:hAnsi="仿宋" w:eastAsia="仿宋" w:cs="仿宋"/>
          <w:color w:val="auto"/>
          <w:sz w:val="32"/>
          <w:szCs w:val="32"/>
          <w:highlight w:val="none"/>
          <w:lang w:val="en-US" w:eastAsia="zh-CN"/>
        </w:rPr>
        <w:t>11.24%，</w:t>
      </w:r>
      <w:r>
        <w:rPr>
          <w:rFonts w:hint="eastAsia" w:ascii="仿宋" w:hAnsi="仿宋" w:eastAsia="仿宋" w:cs="仿宋"/>
          <w:color w:val="auto"/>
          <w:sz w:val="32"/>
          <w:szCs w:val="32"/>
          <w:highlight w:val="none"/>
        </w:rPr>
        <w:t>主要是人员增加以及人员经费调整。</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（二）支出预算：</w:t>
      </w:r>
      <w:r>
        <w:rPr>
          <w:rFonts w:hint="eastAsia" w:ascii="仿宋" w:hAnsi="仿宋" w:eastAsia="仿宋" w:cs="仿宋"/>
          <w:color w:val="auto"/>
          <w:sz w:val="32"/>
          <w:szCs w:val="32"/>
          <w:highlight w:val="none"/>
        </w:rPr>
        <w:t>2021年本部门支出预算 594.77 万元，其中，一般公共服务 0 万元，公共安全 0 万元，教育 0 万元，科学技术 528.67 万元，社会保障和就业支出 36.73 万元，住房保障支出 29.37 万元。支出较去年增加60.12万元，增加11.24％。支出增加的主要原因是：在职人数的增加、工资福利、社保及对个人和家庭的补助提高。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2021年本部门一般公共预算拨款支出预算 594.77 万元，其中，一般公共服务支出0万元，占0 %；公共安全支出0万元，占0 %；科学技术支出528.67 万元，占88.8</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%；社会保障和就业支出 36.73 万元，占6.1</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%；住房保障支出 29.37 万元，占4.94%。具体安排情况如下：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（一）基本支出：</w:t>
      </w:r>
      <w:r>
        <w:rPr>
          <w:rFonts w:hint="eastAsia" w:ascii="仿宋" w:hAnsi="仿宋" w:eastAsia="仿宋" w:cs="仿宋"/>
          <w:color w:val="auto"/>
          <w:sz w:val="32"/>
          <w:szCs w:val="32"/>
          <w:highlight w:val="none"/>
        </w:rPr>
        <w:t>2021年本部门基本支出预算数 459.27 万元，主要是为保障部门正常运转、完成日常工作任务而发生的各项支出，包括用于基本工资、津贴补贴等人员经费以及办公费、印刷费、水电费、办公设备购置等公用经费。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（二）项目支出：</w:t>
      </w:r>
      <w:r>
        <w:rPr>
          <w:rFonts w:hint="eastAsia" w:ascii="仿宋" w:hAnsi="仿宋" w:eastAsia="仿宋" w:cs="仿宋"/>
          <w:color w:val="auto"/>
          <w:sz w:val="32"/>
          <w:szCs w:val="32"/>
          <w:highlight w:val="none"/>
        </w:rPr>
        <w:t>2021年本部门项目支出预算135.5万元，主要是部门为完成特定行政工作任务或事业发展目标而发生的支出，包括有关事业发展专项、专项业务费、基本建设支出等，其中：事务性业务专项经费支出 9.50 万元，主要用于老科技工作者协会工作经费；一般性业务专项经费支出126万元，主要用于科技工作专项和科普工作专项。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2021年本部门政府性基金支出预算0万元，本部门无政府性基金安排的支出。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（一）机关运行经费：</w:t>
      </w:r>
      <w:r>
        <w:rPr>
          <w:rFonts w:hint="eastAsia" w:ascii="仿宋" w:hAnsi="仿宋" w:eastAsia="仿宋" w:cs="仿宋"/>
          <w:color w:val="auto"/>
          <w:sz w:val="32"/>
          <w:szCs w:val="32"/>
          <w:highlight w:val="none"/>
        </w:rPr>
        <w:t>2021年本部门机关本级机关运行经费 39.77 万元，比上年预算增加 6.29 万元，上升 1</w:t>
      </w:r>
      <w:r>
        <w:rPr>
          <w:rFonts w:hint="eastAsia" w:ascii="仿宋" w:hAnsi="仿宋" w:eastAsia="仿宋" w:cs="仿宋"/>
          <w:color w:val="auto"/>
          <w:sz w:val="32"/>
          <w:szCs w:val="32"/>
          <w:highlight w:val="none"/>
          <w:lang w:val="en-US" w:eastAsia="zh-CN"/>
        </w:rPr>
        <w:t>8.79</w:t>
      </w:r>
      <w:r>
        <w:rPr>
          <w:rFonts w:hint="eastAsia" w:ascii="仿宋" w:hAnsi="仿宋" w:eastAsia="仿宋" w:cs="仿宋"/>
          <w:color w:val="auto"/>
          <w:sz w:val="32"/>
          <w:szCs w:val="32"/>
          <w:highlight w:val="none"/>
        </w:rPr>
        <w:t xml:space="preserve"> %，主要是新增在职人员、工会经费的增加。</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（二）“三公”经费预算：</w:t>
      </w:r>
      <w:r>
        <w:rPr>
          <w:rFonts w:hint="eastAsia" w:ascii="仿宋" w:hAnsi="仿宋" w:eastAsia="仿宋" w:cs="仿宋"/>
          <w:color w:val="auto"/>
          <w:sz w:val="32"/>
          <w:szCs w:val="32"/>
          <w:highlight w:val="none"/>
        </w:rPr>
        <w:t>2021年本部门机关本级“三公”经费预算数为 0.5 万元，其中，公务接待费 0.5万元，公务用车购置及运行费 0 万元（其中，公务用车购置费0万元，公务用车运行费0万元），因公出国（境）费 0 万元。2021年“三公”经费预算较2020年持平，主要是我单位积极贯彻落实中央、省委、市委、区委关于厉行节约的要求，从严控制公务接待行为。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（三）一般性支出情况</w:t>
      </w:r>
      <w:r>
        <w:rPr>
          <w:rFonts w:hint="eastAsia" w:ascii="仿宋" w:hAnsi="仿宋" w:eastAsia="仿宋" w:cs="仿宋"/>
          <w:color w:val="auto"/>
          <w:sz w:val="32"/>
          <w:szCs w:val="32"/>
          <w:highlight w:val="none"/>
        </w:rPr>
        <w:t>：2021年本部门会议费预算1万元，拟召开科普学习交流会议，人数100人，内容为落实乡村振兴战略，推进全区新农村建设，增强全区科普阵地建设，切实推进科普信息化建设；培训费预算2.5万元，拟开展科技业务、科普宣传培训，人数 500人，内容为高企申报、研发经费统计、技术合同认定、双创平台、科技项目申报、科普惠农技术；无举办节庆、晚会、论坛、赛事活动安排。</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（四）政府采购情况：</w:t>
      </w:r>
      <w:r>
        <w:rPr>
          <w:rFonts w:hint="eastAsia" w:ascii="仿宋" w:hAnsi="仿宋" w:eastAsia="仿宋" w:cs="仿宋"/>
          <w:color w:val="auto"/>
          <w:sz w:val="32"/>
          <w:szCs w:val="32"/>
          <w:highlight w:val="none"/>
        </w:rPr>
        <w:t>2021年本部门政府采购预算总额 68.51万元，其中，货物类采购预算 8.51万元；工程类采购预算 0 万元；服务类采购预算 60万元。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（五）国有资产占用使用及新增资产配置情况：</w:t>
      </w:r>
      <w:r>
        <w:rPr>
          <w:rFonts w:hint="eastAsia" w:ascii="仿宋" w:hAnsi="仿宋" w:eastAsia="仿宋" w:cs="仿宋"/>
          <w:color w:val="auto"/>
          <w:sz w:val="32"/>
          <w:szCs w:val="32"/>
          <w:highlight w:val="none"/>
        </w:rPr>
        <w:t>截至2020年12月底，本部门共有公务用车0辆，其中，机要通信用车0  辆，应急保障用车0辆，执法执勤用车0辆，特种专业技术用车0辆，其他按照规定配备的公务用车0辆；单位价值50万元以上通用设备 0台，单位价值100万元以上专用设备 0 台。2021年拟新增配置公务用车0辆，其中，机要通信用车 0 辆，应急保障用车0辆，执法执勤用车0辆，特种专业技术用车0辆，其他按照规定配备的公务用车0辆；新增配备单位价值50万元以上通用设备 0 台，单位价值100万元以上专用设备 0 台。</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rPr>
        <w:t>（六）预算绩效目标说明：</w:t>
      </w:r>
      <w:r>
        <w:rPr>
          <w:rFonts w:hint="eastAsia" w:ascii="仿宋" w:hAnsi="仿宋" w:eastAsia="仿宋" w:cs="仿宋"/>
          <w:color w:val="auto"/>
          <w:sz w:val="32"/>
          <w:szCs w:val="32"/>
          <w:highlight w:val="none"/>
        </w:rPr>
        <w:t>本部门所有支出实行绩效目标管理。纳入2021年部门整体支出绩效目标的金额为</w:t>
      </w:r>
      <w:r>
        <w:rPr>
          <w:rFonts w:hint="eastAsia" w:ascii="仿宋" w:hAnsi="仿宋" w:eastAsia="仿宋" w:cs="仿宋"/>
          <w:color w:val="auto"/>
          <w:sz w:val="32"/>
          <w:szCs w:val="32"/>
          <w:highlight w:val="none"/>
          <w:lang w:val="en-US" w:eastAsia="zh-CN"/>
        </w:rPr>
        <w:t>594.77</w:t>
      </w:r>
      <w:r>
        <w:rPr>
          <w:rFonts w:hint="eastAsia" w:ascii="仿宋" w:hAnsi="仿宋" w:eastAsia="仿宋" w:cs="仿宋"/>
          <w:color w:val="auto"/>
          <w:sz w:val="32"/>
          <w:szCs w:val="32"/>
          <w:highlight w:val="none"/>
        </w:rPr>
        <w:t>万元，其中，基本支出</w:t>
      </w:r>
      <w:r>
        <w:rPr>
          <w:rFonts w:hint="eastAsia" w:ascii="仿宋" w:hAnsi="仿宋" w:eastAsia="仿宋" w:cs="仿宋"/>
          <w:color w:val="auto"/>
          <w:sz w:val="32"/>
          <w:szCs w:val="32"/>
          <w:highlight w:val="none"/>
          <w:lang w:val="en-US" w:eastAsia="zh-CN"/>
        </w:rPr>
        <w:t>459.27</w:t>
      </w:r>
      <w:r>
        <w:rPr>
          <w:rFonts w:hint="eastAsia" w:ascii="仿宋" w:hAnsi="仿宋" w:eastAsia="仿宋" w:cs="仿宋"/>
          <w:color w:val="auto"/>
          <w:sz w:val="32"/>
          <w:szCs w:val="32"/>
          <w:highlight w:val="none"/>
        </w:rPr>
        <w:t>万元，项目支出 </w:t>
      </w:r>
      <w:r>
        <w:rPr>
          <w:rFonts w:hint="eastAsia" w:ascii="仿宋" w:hAnsi="仿宋" w:eastAsia="仿宋" w:cs="仿宋"/>
          <w:color w:val="auto"/>
          <w:sz w:val="32"/>
          <w:szCs w:val="32"/>
          <w:highlight w:val="none"/>
          <w:lang w:val="en-US" w:eastAsia="zh-CN"/>
        </w:rPr>
        <w:t>135.5</w:t>
      </w:r>
      <w:r>
        <w:rPr>
          <w:rFonts w:hint="eastAsia" w:ascii="仿宋" w:hAnsi="仿宋" w:eastAsia="仿宋" w:cs="仿宋"/>
          <w:color w:val="auto"/>
          <w:sz w:val="32"/>
          <w:szCs w:val="32"/>
          <w:highlight w:val="none"/>
        </w:rPr>
        <w:t>万元，具体绩效目标详见报表。</w:t>
      </w:r>
      <w:r>
        <w:rPr>
          <w:rFonts w:hint="eastAsia" w:ascii="仿宋" w:hAnsi="仿宋" w:eastAsia="仿宋" w:cs="仿宋"/>
          <w:color w:val="auto"/>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before="30" w:after="30" w:line="600" w:lineRule="exact"/>
        <w:ind w:firstLine="480"/>
        <w:jc w:val="center"/>
        <w:textAlignment w:val="auto"/>
        <w:rPr>
          <w:rFonts w:hint="eastAsia" w:ascii="宋体" w:hAnsi="宋体" w:eastAsia="宋体" w:cs="宋体"/>
          <w:color w:val="auto"/>
          <w:kern w:val="0"/>
          <w:szCs w:val="21"/>
        </w:rPr>
      </w:pPr>
    </w:p>
    <w:p>
      <w:pPr>
        <w:keepNext w:val="0"/>
        <w:keepLines w:val="0"/>
        <w:pageBreakBefore w:val="0"/>
        <w:widowControl/>
        <w:kinsoku/>
        <w:wordWrap/>
        <w:overflowPunct/>
        <w:topLinePunct w:val="0"/>
        <w:autoSpaceDE/>
        <w:autoSpaceDN/>
        <w:bidi w:val="0"/>
        <w:adjustRightInd/>
        <w:snapToGrid/>
        <w:spacing w:before="30" w:after="30" w:line="600" w:lineRule="exact"/>
        <w:ind w:firstLine="480"/>
        <w:jc w:val="center"/>
        <w:textAlignment w:val="auto"/>
        <w:rPr>
          <w:rFonts w:hint="eastAsia" w:ascii="宋体" w:hAnsi="宋体" w:eastAsia="宋体" w:cs="宋体"/>
          <w:color w:val="auto"/>
          <w:kern w:val="0"/>
          <w:szCs w:val="21"/>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hint="eastAsia" w:ascii="仿宋" w:hAnsi="仿宋" w:eastAsia="仿宋" w:cs="仿宋"/>
          <w:b/>
          <w:bCs w:val="0"/>
          <w:color w:val="auto"/>
          <w:kern w:val="0"/>
          <w:sz w:val="36"/>
          <w:szCs w:val="36"/>
        </w:rPr>
      </w:pPr>
      <w:r>
        <w:rPr>
          <w:rFonts w:hint="eastAsia" w:ascii="黑体" w:hAnsi="黑体" w:eastAsia="黑体" w:cs="黑体"/>
          <w:b/>
          <w:bCs w:val="0"/>
          <w:color w:val="auto"/>
          <w:kern w:val="0"/>
          <w:sz w:val="44"/>
          <w:szCs w:val="44"/>
        </w:rPr>
        <w:t>第二部分 2021年部门预算表</w:t>
      </w:r>
    </w:p>
    <w:p>
      <w:pPr>
        <w:keepNext w:val="0"/>
        <w:keepLines w:val="0"/>
        <w:pageBreakBefore w:val="0"/>
        <w:widowControl/>
        <w:kinsoku/>
        <w:wordWrap/>
        <w:overflowPunct/>
        <w:topLinePunct w:val="0"/>
        <w:autoSpaceDE/>
        <w:autoSpaceDN/>
        <w:bidi w:val="0"/>
        <w:adjustRightInd/>
        <w:snapToGrid/>
        <w:spacing w:before="30" w:after="30" w:line="600" w:lineRule="exact"/>
        <w:ind w:firstLine="480"/>
        <w:jc w:val="center"/>
        <w:textAlignment w:val="auto"/>
        <w:rPr>
          <w:rFonts w:hint="eastAsia" w:ascii="宋体" w:hAnsi="宋体" w:eastAsia="宋体" w:cs="宋体"/>
          <w:color w:val="auto"/>
          <w:kern w:val="0"/>
          <w:szCs w:val="21"/>
        </w:rPr>
      </w:pPr>
    </w:p>
    <w:p>
      <w:pPr>
        <w:keepNext w:val="0"/>
        <w:keepLines w:val="0"/>
        <w:pageBreakBefore w:val="0"/>
        <w:widowControl/>
        <w:kinsoku/>
        <w:wordWrap/>
        <w:overflowPunct/>
        <w:topLinePunct w:val="0"/>
        <w:autoSpaceDE/>
        <w:autoSpaceDN/>
        <w:bidi w:val="0"/>
        <w:adjustRightInd/>
        <w:snapToGrid/>
        <w:spacing w:before="30" w:after="30" w:line="600" w:lineRule="exact"/>
        <w:ind w:firstLine="480"/>
        <w:jc w:val="center"/>
        <w:textAlignment w:val="auto"/>
        <w:rPr>
          <w:rFonts w:hint="eastAsia" w:ascii="宋体" w:hAnsi="宋体" w:eastAsia="宋体" w:cs="宋体"/>
          <w:color w:val="auto"/>
          <w:kern w:val="0"/>
          <w:szCs w:val="21"/>
        </w:rPr>
      </w:pPr>
    </w:p>
    <w:p>
      <w:pPr>
        <w:widowControl/>
        <w:spacing w:before="30" w:after="30" w:line="540" w:lineRule="atLeast"/>
        <w:ind w:firstLine="480"/>
        <w:jc w:val="center"/>
        <w:rPr>
          <w:rFonts w:hint="eastAsia" w:ascii="宋体" w:hAnsi="宋体" w:eastAsia="宋体" w:cs="宋体"/>
          <w:color w:val="auto"/>
          <w:kern w:val="0"/>
          <w:szCs w:val="21"/>
        </w:rPr>
      </w:pPr>
    </w:p>
    <w:p>
      <w:pPr>
        <w:widowControl/>
        <w:spacing w:before="30" w:after="30" w:line="540" w:lineRule="atLeast"/>
        <w:ind w:firstLine="480"/>
        <w:jc w:val="center"/>
        <w:rPr>
          <w:rFonts w:hint="eastAsia" w:ascii="宋体" w:hAnsi="宋体" w:eastAsia="宋体" w:cs="宋体"/>
          <w:color w:val="auto"/>
          <w:kern w:val="0"/>
          <w:szCs w:val="21"/>
        </w:rPr>
      </w:pPr>
    </w:p>
    <w:p>
      <w:pPr>
        <w:widowControl/>
        <w:spacing w:before="30" w:after="30" w:line="540" w:lineRule="atLeast"/>
        <w:ind w:firstLine="480"/>
        <w:jc w:val="center"/>
        <w:rPr>
          <w:rFonts w:hint="eastAsia" w:ascii="宋体" w:hAnsi="宋体" w:eastAsia="宋体" w:cs="宋体"/>
          <w:color w:val="auto"/>
          <w:kern w:val="0"/>
          <w:szCs w:val="21"/>
        </w:rPr>
      </w:pPr>
    </w:p>
    <w:p>
      <w:pPr>
        <w:widowControl/>
        <w:spacing w:before="30" w:after="30" w:line="540" w:lineRule="atLeast"/>
        <w:ind w:firstLine="480"/>
        <w:jc w:val="center"/>
        <w:rPr>
          <w:rFonts w:hint="eastAsia" w:ascii="宋体" w:hAnsi="宋体" w:eastAsia="宋体" w:cs="宋体"/>
          <w:color w:val="auto"/>
          <w:kern w:val="0"/>
          <w:szCs w:val="21"/>
        </w:rPr>
      </w:pPr>
    </w:p>
    <w:p>
      <w:pPr>
        <w:widowControl/>
        <w:spacing w:before="30" w:after="30" w:line="540" w:lineRule="atLeast"/>
        <w:ind w:firstLine="480"/>
        <w:jc w:val="center"/>
        <w:rPr>
          <w:rFonts w:hint="eastAsia" w:ascii="宋体" w:hAnsi="宋体" w:eastAsia="宋体" w:cs="宋体"/>
          <w:color w:val="auto"/>
          <w:kern w:val="0"/>
          <w:szCs w:val="21"/>
        </w:rPr>
      </w:pPr>
    </w:p>
    <w:p>
      <w:pPr>
        <w:widowControl/>
        <w:spacing w:before="30" w:after="30" w:line="540" w:lineRule="atLeast"/>
        <w:ind w:firstLine="480"/>
        <w:jc w:val="center"/>
        <w:rPr>
          <w:rFonts w:hint="eastAsia" w:ascii="宋体" w:hAnsi="宋体" w:eastAsia="宋体" w:cs="宋体"/>
          <w:color w:val="auto"/>
          <w:kern w:val="0"/>
          <w:szCs w:val="21"/>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kZmVlZWE1YThmOTUxYzdmMmU4OWMyMmJiMWY5ZTgifQ=="/>
  </w:docVars>
  <w:rsids>
    <w:rsidRoot w:val="00353593"/>
    <w:rsid w:val="00353593"/>
    <w:rsid w:val="00751062"/>
    <w:rsid w:val="00C02A98"/>
    <w:rsid w:val="2DA614CE"/>
    <w:rsid w:val="40BE6360"/>
    <w:rsid w:val="4F42420D"/>
    <w:rsid w:val="58E22A6C"/>
    <w:rsid w:val="70242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3 Char"/>
    <w:basedOn w:val="4"/>
    <w:link w:val="2"/>
    <w:qFormat/>
    <w:uiPriority w:val="9"/>
    <w:rPr>
      <w:rFonts w:ascii="宋体" w:hAnsi="宋体" w:eastAsia="宋体" w:cs="宋体"/>
      <w:b/>
      <w:bCs/>
      <w:kern w:val="0"/>
      <w:sz w:val="27"/>
      <w:szCs w:val="27"/>
    </w:rPr>
  </w:style>
  <w:style w:type="character" w:customStyle="1" w:styleId="7">
    <w:name w:val="kf_sj"/>
    <w:basedOn w:val="4"/>
    <w:qFormat/>
    <w:uiPriority w:val="0"/>
  </w:style>
  <w:style w:type="character" w:customStyle="1" w:styleId="8">
    <w:name w:val="kf_ly"/>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3021</Words>
  <Characters>3234</Characters>
  <Lines>23</Lines>
  <Paragraphs>6</Paragraphs>
  <TotalTime>9</TotalTime>
  <ScaleCrop>false</ScaleCrop>
  <LinksUpToDate>false</LinksUpToDate>
  <CharactersWithSpaces>3298</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2022-06-28T13:47:00Z</dcterms:created>
  <dc:creator>Administrator</dc:creator>
  <cp:lastModifiedBy>杨柳青青</cp:lastModifiedBy>
  <dcterms:modified xsi:type="dcterms:W3CDTF">2022-08-19T02:48:50Z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10BB957475464004BB42316472504B04</vt:lpwstr>
  </property>
</Properties>
</file>