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Times New Roman" w:hAnsi="Times New Roman"/>
          <w:sz w:val="44"/>
          <w:szCs w:val="44"/>
        </w:rPr>
      </w:pPr>
    </w:p>
    <w:p>
      <w:pPr>
        <w:spacing w:line="560" w:lineRule="exact"/>
        <w:jc w:val="both"/>
        <w:rPr>
          <w:rFonts w:hint="eastAsia" w:eastAsia="黑体"/>
          <w:kern w:val="0"/>
          <w:sz w:val="32"/>
          <w:szCs w:val="32"/>
          <w:lang w:eastAsia="zh-CN"/>
        </w:rPr>
      </w:pPr>
      <w:r>
        <w:rPr>
          <w:rFonts w:eastAsia="黑体"/>
          <w:kern w:val="0"/>
          <w:sz w:val="32"/>
          <w:szCs w:val="32"/>
        </w:rPr>
        <w:t>附件</w:t>
      </w:r>
      <w:r>
        <w:rPr>
          <w:rFonts w:hint="eastAsia" w:eastAsia="黑体"/>
          <w:kern w:val="0"/>
          <w:sz w:val="32"/>
          <w:szCs w:val="32"/>
          <w:lang w:val="en-US" w:eastAsia="zh-CN"/>
        </w:rPr>
        <w:t>1</w:t>
      </w:r>
    </w:p>
    <w:p>
      <w:pPr>
        <w:spacing w:line="600" w:lineRule="exact"/>
        <w:rPr>
          <w:rFonts w:eastAsia="黑体"/>
          <w:kern w:val="0"/>
          <w:sz w:val="32"/>
          <w:szCs w:val="32"/>
        </w:rPr>
      </w:pPr>
    </w:p>
    <w:p>
      <w:pPr>
        <w:pStyle w:val="3"/>
        <w:bidi w:val="0"/>
        <w:jc w:val="center"/>
        <w:rPr>
          <w:rFonts w:eastAsia="黑体"/>
          <w:sz w:val="32"/>
          <w:szCs w:val="32"/>
        </w:rPr>
      </w:pPr>
      <w:r>
        <w:rPr>
          <w:rFonts w:hint="eastAsia"/>
          <w:lang w:val="en-US" w:eastAsia="zh-CN"/>
        </w:rPr>
        <w:t>2022</w:t>
      </w:r>
      <w:r>
        <w:t>年度</w:t>
      </w:r>
      <w:r>
        <w:rPr>
          <w:rFonts w:hint="eastAsia"/>
        </w:rPr>
        <w:t>长沙市开福区交通运输局</w:t>
      </w:r>
      <w:r>
        <w:t>部门（单位）整体支出绩效自评报告</w:t>
      </w: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880" w:firstLineChars="200"/>
        <w:jc w:val="center"/>
        <w:rPr>
          <w:rFonts w:eastAsia="黑体"/>
          <w:sz w:val="44"/>
          <w:szCs w:val="44"/>
        </w:rPr>
      </w:pPr>
    </w:p>
    <w:p>
      <w:pPr>
        <w:ind w:firstLine="720" w:firstLineChars="200"/>
        <w:jc w:val="center"/>
        <w:rPr>
          <w:rFonts w:eastAsia="黑体"/>
          <w:sz w:val="36"/>
          <w:szCs w:val="36"/>
        </w:rPr>
      </w:pPr>
      <w:r>
        <w:rPr>
          <w:rFonts w:eastAsia="黑体"/>
          <w:sz w:val="36"/>
          <w:szCs w:val="36"/>
        </w:rPr>
        <w:t>单位名称（盖章）：</w:t>
      </w:r>
    </w:p>
    <w:p>
      <w:pPr>
        <w:jc w:val="center"/>
        <w:rPr>
          <w:rFonts w:eastAsia="黑体"/>
          <w:sz w:val="36"/>
          <w:szCs w:val="36"/>
        </w:rPr>
      </w:pPr>
    </w:p>
    <w:p>
      <w:pPr>
        <w:jc w:val="center"/>
        <w:rPr>
          <w:rFonts w:eastAsia="黑体"/>
          <w:sz w:val="32"/>
          <w:szCs w:val="32"/>
        </w:rPr>
      </w:pPr>
    </w:p>
    <w:p>
      <w:pPr>
        <w:jc w:val="center"/>
        <w:rPr>
          <w:rFonts w:eastAsia="仿宋_GB2312"/>
          <w:sz w:val="32"/>
          <w:szCs w:val="32"/>
        </w:rPr>
      </w:pPr>
      <w:r>
        <w:rPr>
          <w:rFonts w:eastAsia="仿宋_GB2312"/>
          <w:sz w:val="32"/>
          <w:szCs w:val="32"/>
        </w:rPr>
        <w:t>（此页为封面）</w:t>
      </w:r>
    </w:p>
    <w:p>
      <w:pPr>
        <w:jc w:val="center"/>
        <w:rPr>
          <w:rFonts w:eastAsia="仿宋_GB2312"/>
          <w:sz w:val="32"/>
          <w:szCs w:val="32"/>
        </w:rPr>
      </w:pPr>
    </w:p>
    <w:p>
      <w:pPr>
        <w:spacing w:line="600" w:lineRule="exact"/>
        <w:ind w:firstLine="640" w:firstLineChars="200"/>
        <w:rPr>
          <w:rFonts w:eastAsia="黑体"/>
          <w:sz w:val="32"/>
          <w:szCs w:val="32"/>
        </w:rPr>
      </w:pPr>
      <w:r>
        <w:rPr>
          <w:rFonts w:eastAsia="仿宋_GB2312"/>
          <w:sz w:val="32"/>
          <w:szCs w:val="32"/>
        </w:rPr>
        <w:br w:type="page"/>
      </w: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lang w:val="en-US" w:eastAsia="zh-CN"/>
        </w:rPr>
      </w:pPr>
      <w:r>
        <w:rPr>
          <w:rFonts w:hint="eastAsia" w:hAnsi="宋体" w:cs="宋体"/>
          <w:color w:val="000000"/>
          <w:kern w:val="0"/>
          <w:sz w:val="32"/>
          <w:szCs w:val="32"/>
          <w:lang w:val="en-US" w:eastAsia="zh-CN"/>
        </w:rPr>
        <w:t>在职人员情况</w:t>
      </w:r>
    </w:p>
    <w:p>
      <w:pPr>
        <w:spacing w:line="520" w:lineRule="exact"/>
        <w:ind w:firstLine="640" w:firstLineChars="200"/>
        <w:rPr>
          <w:rFonts w:hint="eastAsia" w:hAnsi="宋体" w:eastAsia="仿宋_GB2312" w:cs="宋体"/>
          <w:color w:val="auto"/>
          <w:kern w:val="0"/>
          <w:sz w:val="32"/>
          <w:szCs w:val="32"/>
          <w:lang w:val="en-US" w:eastAsia="zh-CN"/>
        </w:rPr>
      </w:pPr>
      <w:r>
        <w:rPr>
          <w:rFonts w:hint="eastAsia" w:eastAsia="仿宋_GB2312"/>
          <w:bCs/>
          <w:color w:val="auto"/>
          <w:sz w:val="32"/>
          <w:szCs w:val="32"/>
        </w:rPr>
        <w:t>截止至20</w:t>
      </w:r>
      <w:r>
        <w:rPr>
          <w:rFonts w:hint="eastAsia" w:eastAsia="仿宋_GB2312"/>
          <w:bCs/>
          <w:color w:val="auto"/>
          <w:sz w:val="32"/>
          <w:szCs w:val="32"/>
          <w:lang w:val="en-US" w:eastAsia="zh-CN"/>
        </w:rPr>
        <w:t>2</w:t>
      </w:r>
      <w:r>
        <w:rPr>
          <w:rFonts w:hint="eastAsia"/>
          <w:bCs/>
          <w:color w:val="auto"/>
          <w:sz w:val="32"/>
          <w:szCs w:val="32"/>
          <w:lang w:val="en-US" w:eastAsia="zh-CN"/>
        </w:rPr>
        <w:t>2</w:t>
      </w:r>
      <w:r>
        <w:rPr>
          <w:rFonts w:hint="eastAsia" w:eastAsia="仿宋_GB2312"/>
          <w:bCs/>
          <w:color w:val="auto"/>
          <w:sz w:val="32"/>
          <w:szCs w:val="32"/>
        </w:rPr>
        <w:t>年12月31日，</w:t>
      </w:r>
      <w:r>
        <w:rPr>
          <w:rFonts w:hint="eastAsia" w:hAnsi="宋体" w:cs="宋体"/>
          <w:color w:val="auto"/>
          <w:kern w:val="0"/>
          <w:sz w:val="32"/>
          <w:szCs w:val="32"/>
          <w:lang w:val="en-US" w:eastAsia="zh-CN"/>
        </w:rPr>
        <w:t>本部门</w:t>
      </w:r>
      <w:r>
        <w:rPr>
          <w:rFonts w:hint="eastAsia" w:ascii="Times New Roman" w:hAnsi="宋体" w:cs="宋体"/>
          <w:color w:val="auto"/>
          <w:kern w:val="0"/>
          <w:sz w:val="32"/>
          <w:szCs w:val="32"/>
        </w:rPr>
        <w:t>在职人数</w:t>
      </w:r>
      <w:r>
        <w:rPr>
          <w:rFonts w:hint="eastAsia" w:ascii="Times New Roman" w:hAnsi="宋体" w:cs="宋体"/>
          <w:color w:val="auto"/>
          <w:kern w:val="0"/>
          <w:sz w:val="32"/>
          <w:szCs w:val="32"/>
          <w:lang w:val="en-US" w:eastAsia="zh-CN"/>
        </w:rPr>
        <w:t>29</w:t>
      </w:r>
      <w:r>
        <w:rPr>
          <w:rFonts w:hint="eastAsia" w:ascii="Times New Roman" w:hAnsi="宋体" w:cs="宋体"/>
          <w:color w:val="auto"/>
          <w:kern w:val="0"/>
          <w:sz w:val="32"/>
          <w:szCs w:val="32"/>
        </w:rPr>
        <w:t>人，其中：行政人员</w:t>
      </w:r>
      <w:r>
        <w:rPr>
          <w:rFonts w:hint="eastAsia" w:ascii="Times New Roman" w:hAnsi="宋体" w:cs="宋体"/>
          <w:color w:val="auto"/>
          <w:kern w:val="0"/>
          <w:sz w:val="32"/>
          <w:szCs w:val="32"/>
          <w:lang w:val="en-US" w:eastAsia="zh-CN"/>
        </w:rPr>
        <w:t>15</w:t>
      </w:r>
      <w:r>
        <w:rPr>
          <w:rFonts w:hint="eastAsia" w:ascii="Times New Roman" w:hAnsi="宋体" w:cs="宋体"/>
          <w:color w:val="auto"/>
          <w:kern w:val="0"/>
          <w:sz w:val="32"/>
          <w:szCs w:val="32"/>
        </w:rPr>
        <w:t>人</w:t>
      </w:r>
      <w:r>
        <w:rPr>
          <w:rFonts w:hint="eastAsia" w:ascii="Times New Roman" w:hAnsi="宋体" w:cs="宋体"/>
          <w:color w:val="auto"/>
          <w:kern w:val="0"/>
          <w:sz w:val="32"/>
          <w:szCs w:val="32"/>
          <w:lang w:eastAsia="zh-CN"/>
        </w:rPr>
        <w:t>，</w:t>
      </w:r>
      <w:r>
        <w:rPr>
          <w:rFonts w:hint="eastAsia" w:ascii="Times New Roman" w:hAnsi="宋体" w:cs="宋体"/>
          <w:color w:val="auto"/>
          <w:kern w:val="0"/>
          <w:sz w:val="32"/>
          <w:szCs w:val="32"/>
          <w:lang w:val="en-US" w:eastAsia="zh-CN"/>
        </w:rPr>
        <w:t>非</w:t>
      </w:r>
      <w:r>
        <w:rPr>
          <w:rFonts w:hint="eastAsia" w:ascii="Times New Roman" w:hAnsi="宋体" w:cs="宋体"/>
          <w:color w:val="auto"/>
          <w:kern w:val="0"/>
          <w:sz w:val="32"/>
          <w:szCs w:val="32"/>
        </w:rPr>
        <w:t>参照公务员法管理事业人员1</w:t>
      </w:r>
      <w:r>
        <w:rPr>
          <w:rFonts w:hint="eastAsia" w:ascii="Times New Roman" w:hAnsi="宋体" w:cs="宋体"/>
          <w:color w:val="auto"/>
          <w:kern w:val="0"/>
          <w:sz w:val="32"/>
          <w:szCs w:val="32"/>
          <w:lang w:val="en-US" w:eastAsia="zh-CN"/>
        </w:rPr>
        <w:t>4</w:t>
      </w:r>
      <w:r>
        <w:rPr>
          <w:rFonts w:hint="eastAsia" w:ascii="Times New Roman" w:hAnsi="宋体" w:cs="宋体"/>
          <w:color w:val="auto"/>
          <w:kern w:val="0"/>
          <w:sz w:val="32"/>
          <w:szCs w:val="32"/>
        </w:rPr>
        <w:t>人</w:t>
      </w:r>
      <w:r>
        <w:rPr>
          <w:rFonts w:hint="eastAsia" w:ascii="Times New Roman" w:hAnsi="宋体" w:cs="宋体"/>
          <w:color w:val="auto"/>
          <w:kern w:val="0"/>
          <w:sz w:val="32"/>
          <w:szCs w:val="32"/>
          <w:lang w:eastAsia="zh-CN"/>
        </w:rPr>
        <w:t>；</w:t>
      </w:r>
      <w:r>
        <w:rPr>
          <w:rFonts w:hint="eastAsia" w:ascii="Times New Roman" w:hAnsi="宋体" w:cs="宋体"/>
          <w:color w:val="auto"/>
          <w:kern w:val="0"/>
          <w:sz w:val="32"/>
          <w:szCs w:val="32"/>
          <w:lang w:val="en-US" w:eastAsia="zh-CN"/>
        </w:rPr>
        <w:t>聘用人员10人，市驻区交通执法大队聘用人员20名</w:t>
      </w:r>
      <w:r>
        <w:rPr>
          <w:rFonts w:hint="eastAsia" w:ascii="Times New Roman" w:hAnsi="宋体" w:cs="宋体"/>
          <w:color w:val="auto"/>
          <w:kern w:val="0"/>
          <w:sz w:val="32"/>
          <w:szCs w:val="32"/>
          <w:lang w:eastAsia="zh-CN"/>
        </w:rPr>
        <w:t>；</w:t>
      </w:r>
      <w:r>
        <w:rPr>
          <w:rFonts w:hint="eastAsia" w:ascii="Times New Roman" w:hAnsi="宋体" w:cs="宋体"/>
          <w:color w:val="auto"/>
          <w:kern w:val="0"/>
          <w:sz w:val="32"/>
          <w:szCs w:val="32"/>
          <w:lang w:val="en-US" w:eastAsia="zh-CN"/>
        </w:rPr>
        <w:t>退休人员13人</w:t>
      </w:r>
      <w:r>
        <w:rPr>
          <w:rFonts w:hint="eastAsia" w:ascii="Times New Roman" w:hAnsi="宋体" w:cs="宋体"/>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lang w:val="en-US" w:eastAsia="zh-CN"/>
        </w:rPr>
        <w:t>2、</w:t>
      </w:r>
      <w:r>
        <w:rPr>
          <w:rFonts w:hint="eastAsia" w:hAnsi="宋体" w:cs="宋体"/>
          <w:color w:val="000000"/>
          <w:kern w:val="0"/>
          <w:sz w:val="32"/>
          <w:szCs w:val="32"/>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eastAsia="仿宋_GB2312" w:cs="宋体"/>
          <w:color w:val="000000"/>
          <w:kern w:val="0"/>
          <w:sz w:val="32"/>
          <w:szCs w:val="32"/>
          <w:lang w:val="en-US" w:eastAsia="zh-CN"/>
        </w:rPr>
      </w:pPr>
      <w:r>
        <w:rPr>
          <w:rFonts w:hint="eastAsia" w:hAnsi="宋体" w:cs="宋体"/>
          <w:color w:val="000000"/>
          <w:kern w:val="0"/>
          <w:sz w:val="32"/>
          <w:szCs w:val="32"/>
          <w:lang w:val="en-US" w:eastAsia="zh-CN"/>
        </w:rPr>
        <w:t>本部门</w:t>
      </w:r>
      <w:r>
        <w:rPr>
          <w:rFonts w:hint="eastAsia" w:hAnsi="宋体" w:cs="宋体"/>
          <w:color w:val="000000"/>
          <w:kern w:val="0"/>
          <w:sz w:val="32"/>
          <w:szCs w:val="32"/>
        </w:rPr>
        <w:t>内设机构包括：（1）党政综合办（2）农村公路管理科（3）运输综合科（4）安全监督科</w:t>
      </w:r>
      <w:r>
        <w:rPr>
          <w:rFonts w:hint="eastAsia" w:hAnsi="宋体" w:cs="宋体"/>
          <w:color w:val="00000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hAnsi="宋体" w:eastAsia="仿宋_GB2312" w:cs="宋体"/>
          <w:color w:val="000000"/>
          <w:kern w:val="0"/>
          <w:sz w:val="32"/>
          <w:szCs w:val="32"/>
          <w:lang w:val="en-US" w:eastAsia="zh-CN"/>
        </w:rPr>
      </w:pPr>
      <w:r>
        <w:rPr>
          <w:rFonts w:hint="eastAsia" w:hAnsi="宋体" w:cs="宋体"/>
          <w:color w:val="000000"/>
          <w:kern w:val="0"/>
          <w:sz w:val="32"/>
          <w:szCs w:val="32"/>
          <w:lang w:val="en-US" w:eastAsia="zh-CN"/>
        </w:rPr>
        <w:t>3、主要职能及重点工作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（1）宣传贯彻国家和省市交通主管部门有关道路运输的方针政策和法律法规，维护全区道路运输市场秩序，保护合法经营，依法查处交通运输违法行为。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（2）负责对辖区内道路客、货运输经营的行政许可和监督管理工作，对道路运输代理、货运配載信息服务、仓储理货、装卸搬运等行业实行备和监督管理。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（3）按有关规定对辖区内道路运输经营者的经营资质进行考核和营运车辆的年度审验。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（4）负责辖区内机动车维修经营、客货运输站场经营、机动车管理培训经营的行政许可和监督管理工作。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（5）负责辖区内县乡公路路政管理工作，负责辖区内县乡公路规划、建设、养护工作。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（6）负责全区交通运输安全的宣传和管理工作，对辖区内的公路、水路运输安全实施监督管理。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（7）负责全区公路、水上“三乱”治理工作。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（8）协助辖区内城市公共客运监督管理工作。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hAnsi="宋体" w:cs="宋体"/>
          <w:color w:val="000000"/>
          <w:kern w:val="0"/>
          <w:sz w:val="32"/>
          <w:szCs w:val="32"/>
        </w:rPr>
      </w:pPr>
      <w:r>
        <w:rPr>
          <w:rFonts w:hint="eastAsia" w:hAnsi="宋体" w:cs="宋体"/>
          <w:color w:val="000000"/>
          <w:kern w:val="0"/>
          <w:sz w:val="32"/>
          <w:szCs w:val="32"/>
        </w:rPr>
        <w:t>（9）负责辖区内道路交通运输行业管理和运输组织，做好防汛、救灾、抢险等物资的运输组织协调工作，协助做好全区国防动员交通运输战备工作。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eastAsia="楷体_GB2312"/>
          <w:b/>
          <w:sz w:val="32"/>
          <w:szCs w:val="32"/>
        </w:rPr>
      </w:pPr>
      <w:r>
        <w:rPr>
          <w:rFonts w:hint="eastAsia" w:hAnsi="宋体" w:cs="宋体"/>
          <w:color w:val="000000"/>
          <w:kern w:val="0"/>
          <w:sz w:val="32"/>
          <w:szCs w:val="32"/>
        </w:rPr>
        <w:t>（10）负责全区道路运输市场调查研究工作，做好交通运输统计和有关数据的收集、整理和上报工作，为上级制定交通运输发展规划提供依据。</w:t>
      </w:r>
    </w:p>
    <w:p>
      <w:pPr>
        <w:numPr>
          <w:ilvl w:val="0"/>
          <w:numId w:val="2"/>
        </w:numPr>
        <w:spacing w:line="600" w:lineRule="exact"/>
        <w:ind w:firstLine="643" w:firstLineChars="200"/>
        <w:rPr>
          <w:rFonts w:eastAsia="楷体_GB2312"/>
          <w:b/>
          <w:sz w:val="32"/>
          <w:szCs w:val="32"/>
        </w:rPr>
      </w:pPr>
      <w:r>
        <w:rPr>
          <w:rFonts w:eastAsia="楷体_GB2312"/>
          <w:b/>
          <w:sz w:val="32"/>
          <w:szCs w:val="32"/>
        </w:rPr>
        <w:t>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p>
      <w:pPr>
        <w:keepNext w:val="0"/>
        <w:keepLines w:val="0"/>
        <w:pageBreakBefore w:val="0"/>
        <w:widowControl w:val="0"/>
        <w:kinsoku/>
        <w:wordWrap/>
        <w:overflowPunct/>
        <w:topLinePunct w:val="0"/>
        <w:autoSpaceDE/>
        <w:autoSpaceDN/>
        <w:bidi w:val="0"/>
        <w:snapToGrid/>
        <w:spacing w:line="560" w:lineRule="exact"/>
        <w:ind w:left="0" w:leftChars="0" w:firstLine="640" w:firstLineChars="200"/>
        <w:textAlignment w:val="auto"/>
        <w:rPr>
          <w:rFonts w:hint="default"/>
          <w:lang w:val="en-US" w:eastAsia="zh-CN"/>
        </w:rPr>
      </w:pPr>
      <w:r>
        <w:rPr>
          <w:rFonts w:hint="eastAsia" w:ascii="Times New Roman" w:hAnsi="Times New Roman" w:cs="Times New Roman"/>
          <w:kern w:val="2"/>
          <w:sz w:val="32"/>
          <w:szCs w:val="32"/>
          <w:lang w:val="en-US" w:eastAsia="zh-CN" w:bidi="ar-SA"/>
        </w:rPr>
        <w:t>2022年度本单位年度整体支出绩效目标</w:t>
      </w:r>
      <w:r>
        <w:rPr>
          <w:rFonts w:hint="eastAsia" w:cs="Times New Roman"/>
          <w:kern w:val="2"/>
          <w:sz w:val="32"/>
          <w:szCs w:val="32"/>
          <w:lang w:val="en-US" w:eastAsia="zh-CN" w:bidi="ar-SA"/>
        </w:rPr>
        <w:t>如下：　一是加强党员干部理论学习，组织开展党组理论中心组学习10余次、局班子专题学习10余次，党员集中学习10余次，党员撰写心得体会50多篇，报送相关稿件30余篇。二是有效促进行业健康发展，协调处理外观破损修复20处，处理掉画与褶皱60余处，清洁牛皮癣小广告400余处，清洗站牌300余块，维护维修站牌180余块，更换破损褪色公交站贴200余条，更换褪色公益80余幅；定期组织人员走访货运源头企业、维修企业，约谈企业负责人和环保负责人，开展主题宣传3次，发放资料200余份，有力提升企业从业人员的环保意识。三是有力推进农村公路建养管，从2022年度区级农村公路养护经费中列支305万元作为日常养护专项费用，保障全区500余公里农村公路的日常养护。四是全面压实安全监管排查，制定《开福区道路运输行业联合执法行动方案》，牵头对存在较大安全隐患企业，开展联合执法行动。其他部门开展各类联合执法80余次，对100来家运输企业（个人）开展约谈，通过常态化联合执法和警示约谈，进一步压实企业安全生产主体责任，减少安全事故发生</w:t>
      </w:r>
      <w:r>
        <w:rPr>
          <w:rFonts w:hint="eastAsia" w:ascii="仿宋_GB2312" w:hAnsi="宋体" w:cs="宋体"/>
          <w:color w:val="auto"/>
          <w:kern w:val="0"/>
          <w:sz w:val="32"/>
          <w:szCs w:val="32"/>
          <w:highlight w:val="none"/>
          <w:lang w:eastAsia="zh-CN"/>
        </w:rPr>
        <w:t>。</w:t>
      </w:r>
    </w:p>
    <w:p>
      <w:pPr>
        <w:pStyle w:val="14"/>
        <w:spacing w:line="600" w:lineRule="exact"/>
        <w:ind w:firstLine="640"/>
        <w:rPr>
          <w:rFonts w:ascii="Times New Roman" w:hAnsi="Times New Roman" w:eastAsia="黑体"/>
          <w:sz w:val="32"/>
          <w:szCs w:val="32"/>
        </w:rPr>
      </w:pPr>
      <w:r>
        <w:rPr>
          <w:rFonts w:ascii="Times New Roman" w:hAnsi="Times New Roman" w:eastAsia="黑体"/>
          <w:sz w:val="32"/>
          <w:szCs w:val="32"/>
        </w:rPr>
        <w:t>二、一般公共预算支出情况</w:t>
      </w:r>
    </w:p>
    <w:p>
      <w:pPr>
        <w:pStyle w:val="14"/>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（一）基本支出情况</w:t>
      </w:r>
    </w:p>
    <w:p>
      <w:pPr>
        <w:spacing w:line="520" w:lineRule="exact"/>
        <w:ind w:firstLine="640" w:firstLineChars="200"/>
        <w:rPr>
          <w:rFonts w:ascii="Times New Roman" w:hAnsi="Times New Roman" w:eastAsia="楷体_GB2312"/>
          <w:b/>
          <w:sz w:val="32"/>
          <w:szCs w:val="32"/>
        </w:rPr>
      </w:pPr>
      <w:r>
        <w:rPr>
          <w:rFonts w:hint="eastAsia" w:ascii="仿宋_GB2312" w:hAnsi="Times New Roman" w:cs="Times New Roman"/>
          <w:kern w:val="0"/>
          <w:sz w:val="32"/>
          <w:szCs w:val="32"/>
          <w:vertAlign w:val="baseline"/>
          <w:lang w:val="en-US" w:eastAsia="zh-CN"/>
        </w:rPr>
        <w:t>2022年基本支出决算数为1,376.07万元，</w:t>
      </w:r>
      <w:r>
        <w:rPr>
          <w:rFonts w:hint="eastAsia" w:ascii="仿宋" w:hAnsi="仿宋" w:eastAsia="仿宋" w:cs="宋体"/>
          <w:color w:val="000000"/>
          <w:kern w:val="0"/>
          <w:sz w:val="32"/>
          <w:szCs w:val="32"/>
        </w:rPr>
        <w:t>占本年总支出的</w:t>
      </w:r>
      <w:r>
        <w:rPr>
          <w:rFonts w:hint="eastAsia" w:ascii="仿宋" w:hAnsi="仿宋" w:eastAsia="仿宋" w:cs="宋体"/>
          <w:color w:val="000000"/>
          <w:kern w:val="0"/>
          <w:sz w:val="32"/>
          <w:szCs w:val="32"/>
          <w:lang w:val="en-US" w:eastAsia="zh-CN"/>
        </w:rPr>
        <w:t>21.19</w:t>
      </w:r>
      <w:r>
        <w:rPr>
          <w:rFonts w:hint="eastAsia" w:ascii="仿宋" w:hAnsi="仿宋" w:eastAsia="仿宋" w:cs="宋体"/>
          <w:color w:val="000000"/>
          <w:kern w:val="0"/>
          <w:sz w:val="32"/>
          <w:szCs w:val="32"/>
        </w:rPr>
        <w:t>%，</w:t>
      </w:r>
      <w:r>
        <w:rPr>
          <w:rFonts w:hint="eastAsia" w:ascii="Times New Roman" w:hAnsi="Times New Roman" w:cs="Times New Roman"/>
          <w:kern w:val="2"/>
          <w:sz w:val="32"/>
          <w:szCs w:val="32"/>
          <w:lang w:val="en-US" w:eastAsia="zh-CN" w:bidi="ar-SA"/>
        </w:rPr>
        <w:t>其中人员经费</w:t>
      </w:r>
      <w:r>
        <w:rPr>
          <w:rFonts w:hint="eastAsia" w:ascii="Times New Roman" w:hAnsi="Times New Roman" w:eastAsia="仿宋_GB2312" w:cs="Times New Roman"/>
          <w:kern w:val="2"/>
          <w:sz w:val="32"/>
          <w:szCs w:val="32"/>
          <w:lang w:val="en-US" w:eastAsia="zh-CN" w:bidi="ar-SA"/>
        </w:rPr>
        <w:t>支出</w:t>
      </w:r>
      <w:r>
        <w:rPr>
          <w:rFonts w:hint="eastAsia" w:ascii="仿宋_GB2312"/>
          <w:kern w:val="0"/>
          <w:sz w:val="32"/>
          <w:szCs w:val="32"/>
          <w:vertAlign w:val="baseline"/>
          <w:lang w:val="en-US" w:eastAsia="zh-CN"/>
        </w:rPr>
        <w:t>1,291.68万元，</w:t>
      </w:r>
      <w:r>
        <w:rPr>
          <w:rFonts w:hint="eastAsia" w:ascii="仿宋" w:hAnsi="仿宋" w:eastAsia="仿宋" w:cs="宋体"/>
          <w:color w:val="000000"/>
          <w:kern w:val="0"/>
          <w:sz w:val="32"/>
          <w:szCs w:val="32"/>
        </w:rPr>
        <w:t>机关运行经费</w:t>
      </w:r>
      <w:r>
        <w:rPr>
          <w:rFonts w:hint="eastAsia" w:ascii="仿宋" w:hAnsi="仿宋" w:eastAsia="仿宋" w:cs="宋体"/>
          <w:color w:val="000000"/>
          <w:kern w:val="0"/>
          <w:sz w:val="32"/>
          <w:szCs w:val="32"/>
          <w:lang w:val="en-US" w:eastAsia="zh-CN"/>
        </w:rPr>
        <w:t>支出</w:t>
      </w:r>
      <w:r>
        <w:rPr>
          <w:rFonts w:hint="eastAsia" w:ascii="仿宋_GB2312"/>
          <w:kern w:val="0"/>
          <w:sz w:val="32"/>
          <w:szCs w:val="32"/>
          <w:vertAlign w:val="baseline"/>
          <w:lang w:val="en-US" w:eastAsia="zh-CN"/>
        </w:rPr>
        <w:t>84.39万元。</w:t>
      </w:r>
    </w:p>
    <w:p>
      <w:pPr>
        <w:pStyle w:val="14"/>
        <w:spacing w:line="600" w:lineRule="exact"/>
        <w:ind w:firstLine="643"/>
        <w:rPr>
          <w:rFonts w:ascii="Times New Roman" w:hAnsi="Times New Roman" w:eastAsia="楷体_GB2312"/>
          <w:b/>
          <w:sz w:val="32"/>
          <w:szCs w:val="32"/>
        </w:rPr>
      </w:pPr>
      <w:r>
        <w:rPr>
          <w:rFonts w:ascii="Times New Roman" w:hAnsi="Times New Roman" w:eastAsia="楷体_GB2312"/>
          <w:b/>
          <w:sz w:val="32"/>
          <w:szCs w:val="32"/>
        </w:rPr>
        <w:t>（二）项目支出情况</w:t>
      </w:r>
    </w:p>
    <w:p>
      <w:pPr>
        <w:ind w:firstLine="640" w:firstLineChars="200"/>
        <w:rPr>
          <w:rFonts w:hint="eastAsia" w:ascii="Times New Roman" w:hAnsi="Times New Roman" w:eastAsia="黑体" w:cs="Times New Roman"/>
          <w:color w:val="auto"/>
          <w:sz w:val="32"/>
          <w:szCs w:val="32"/>
          <w:lang w:eastAsia="zh-CN"/>
        </w:rPr>
      </w:pPr>
      <w:r>
        <w:rPr>
          <w:rFonts w:hint="eastAsia" w:ascii="仿宋" w:hAnsi="仿宋" w:eastAsia="仿宋" w:cs="宋体"/>
          <w:color w:val="auto"/>
          <w:kern w:val="0"/>
          <w:sz w:val="32"/>
          <w:szCs w:val="32"/>
        </w:rPr>
        <w:t>202</w:t>
      </w:r>
      <w:r>
        <w:rPr>
          <w:rFonts w:hint="eastAsia" w:ascii="仿宋" w:hAnsi="仿宋" w:eastAsia="仿宋" w:cs="宋体"/>
          <w:color w:val="auto"/>
          <w:kern w:val="0"/>
          <w:sz w:val="32"/>
          <w:szCs w:val="32"/>
          <w:lang w:val="en-US" w:eastAsia="zh-CN"/>
        </w:rPr>
        <w:t>2</w:t>
      </w:r>
      <w:r>
        <w:rPr>
          <w:rFonts w:hint="eastAsia" w:ascii="仿宋" w:hAnsi="仿宋" w:eastAsia="仿宋" w:cs="宋体"/>
          <w:color w:val="auto"/>
          <w:kern w:val="0"/>
          <w:sz w:val="32"/>
          <w:szCs w:val="32"/>
        </w:rPr>
        <w:t>年项目支出为</w:t>
      </w:r>
      <w:r>
        <w:rPr>
          <w:rFonts w:hint="eastAsia" w:ascii="仿宋" w:hAnsi="仿宋" w:eastAsia="仿宋" w:cs="宋体"/>
          <w:color w:val="auto"/>
          <w:kern w:val="0"/>
          <w:sz w:val="32"/>
          <w:szCs w:val="32"/>
          <w:lang w:val="en-US" w:eastAsia="zh-CN"/>
        </w:rPr>
        <w:t>5,119.09</w:t>
      </w:r>
      <w:r>
        <w:rPr>
          <w:rFonts w:hint="eastAsia" w:ascii="仿宋" w:hAnsi="仿宋" w:eastAsia="仿宋" w:cs="宋体"/>
          <w:color w:val="auto"/>
          <w:kern w:val="0"/>
          <w:sz w:val="32"/>
          <w:szCs w:val="32"/>
        </w:rPr>
        <w:t>万元，占本年总支出的</w:t>
      </w:r>
      <w:r>
        <w:rPr>
          <w:rFonts w:hint="eastAsia" w:ascii="仿宋" w:hAnsi="仿宋" w:eastAsia="仿宋" w:cs="宋体"/>
          <w:color w:val="auto"/>
          <w:kern w:val="0"/>
          <w:sz w:val="32"/>
          <w:szCs w:val="32"/>
          <w:lang w:val="en-US" w:eastAsia="zh-CN"/>
        </w:rPr>
        <w:t>78.81</w:t>
      </w:r>
      <w:r>
        <w:rPr>
          <w:rFonts w:hint="eastAsia" w:ascii="仿宋" w:hAnsi="仿宋" w:eastAsia="仿宋" w:cs="宋体"/>
          <w:color w:val="auto"/>
          <w:kern w:val="0"/>
          <w:sz w:val="32"/>
          <w:szCs w:val="32"/>
        </w:rPr>
        <w:t>，其中：业务工作经费11.98万元</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安全整治专项经费28.50万元、农村公路建设及养护经费（含上级补助资金）611.98万元、市驻区交通执法大队专项经费53.31万元、春节、端午节节气资金726.75万元、2022年站场建设补助资金350万元、2020-2021年度出租车成品油价格外贴资金3,134.63万元、新冠疫情防控项目经费201.94万元。</w:t>
      </w:r>
    </w:p>
    <w:p>
      <w:pPr>
        <w:pStyle w:val="14"/>
        <w:numPr>
          <w:ilvl w:val="0"/>
          <w:numId w:val="3"/>
        </w:numPr>
        <w:spacing w:line="600" w:lineRule="exact"/>
        <w:ind w:firstLine="640"/>
        <w:rPr>
          <w:rFonts w:ascii="Times New Roman" w:hAnsi="Times New Roman" w:eastAsia="黑体"/>
          <w:sz w:val="32"/>
          <w:szCs w:val="32"/>
        </w:rPr>
      </w:pPr>
      <w:r>
        <w:rPr>
          <w:rFonts w:ascii="Times New Roman" w:hAnsi="Times New Roman" w:eastAsia="黑体"/>
          <w:sz w:val="32"/>
          <w:szCs w:val="32"/>
        </w:rPr>
        <w:t>政府性基金预算支出情况</w:t>
      </w:r>
    </w:p>
    <w:p>
      <w:pPr>
        <w:pStyle w:val="14"/>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仿宋_GB2312" w:cs="Times New Roman"/>
          <w:color w:val="auto"/>
          <w:kern w:val="2"/>
          <w:sz w:val="32"/>
          <w:szCs w:val="32"/>
          <w:lang w:val="en-US" w:eastAsia="zh-CN" w:bidi="ar-SA"/>
        </w:rPr>
        <w:t>本部门2022年度无政府性基金预算支出。</w:t>
      </w:r>
    </w:p>
    <w:p>
      <w:pPr>
        <w:pStyle w:val="14"/>
        <w:numPr>
          <w:ilvl w:val="0"/>
          <w:numId w:val="3"/>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4"/>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仿宋_GB2312" w:cs="Times New Roman"/>
          <w:kern w:val="2"/>
          <w:sz w:val="32"/>
          <w:szCs w:val="32"/>
          <w:lang w:val="en-US" w:eastAsia="zh-CN" w:bidi="ar-SA"/>
        </w:rPr>
        <w:t>本部门2022年度无国有资本经营预算支出。</w:t>
      </w:r>
    </w:p>
    <w:p>
      <w:pPr>
        <w:pStyle w:val="14"/>
        <w:numPr>
          <w:ilvl w:val="0"/>
          <w:numId w:val="3"/>
        </w:numPr>
        <w:spacing w:line="600" w:lineRule="exact"/>
        <w:ind w:left="0" w:leftChars="0" w:firstLine="640" w:firstLineChars="200"/>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4"/>
        <w:numPr>
          <w:ilvl w:val="0"/>
          <w:numId w:val="0"/>
        </w:numPr>
        <w:spacing w:line="600" w:lineRule="exact"/>
        <w:ind w:firstLine="640" w:firstLineChars="200"/>
        <w:rPr>
          <w:rFonts w:ascii="Times New Roman" w:hAnsi="Times New Roman" w:eastAsia="黑体"/>
          <w:sz w:val="32"/>
          <w:szCs w:val="32"/>
        </w:rPr>
      </w:pPr>
      <w:r>
        <w:rPr>
          <w:rFonts w:hint="eastAsia" w:ascii="Times New Roman" w:hAnsi="Times New Roman" w:eastAsia="仿宋_GB2312" w:cs="Times New Roman"/>
          <w:kern w:val="2"/>
          <w:sz w:val="32"/>
          <w:szCs w:val="32"/>
          <w:lang w:val="en-US" w:eastAsia="zh-CN" w:bidi="ar-SA"/>
        </w:rPr>
        <w:t>本部门2022年度无社会保险基金预算支出。</w:t>
      </w:r>
    </w:p>
    <w:p>
      <w:pPr>
        <w:spacing w:line="600" w:lineRule="exact"/>
        <w:ind w:firstLine="640" w:firstLineChars="200"/>
        <w:rPr>
          <w:rFonts w:eastAsia="黑体"/>
          <w:sz w:val="32"/>
          <w:szCs w:val="32"/>
        </w:rPr>
      </w:pPr>
      <w:r>
        <w:rPr>
          <w:rFonts w:eastAsia="黑体"/>
          <w:sz w:val="32"/>
          <w:szCs w:val="32"/>
        </w:rPr>
        <w:t>六、部门整体支出绩效情况</w:t>
      </w:r>
    </w:p>
    <w:p>
      <w:pPr>
        <w:spacing w:line="600" w:lineRule="exact"/>
        <w:ind w:firstLine="640" w:firstLineChars="200"/>
        <w:rPr>
          <w:rFonts w:hint="eastAsia"/>
          <w:color w:val="000000"/>
          <w:sz w:val="32"/>
          <w:szCs w:val="32"/>
          <w:lang w:val="en-US" w:eastAsia="zh-CN"/>
        </w:rPr>
      </w:pPr>
      <w:r>
        <w:rPr>
          <w:rFonts w:eastAsia="仿宋_GB2312"/>
          <w:color w:val="000000"/>
          <w:sz w:val="32"/>
          <w:szCs w:val="32"/>
        </w:rPr>
        <w:t>本部门</w:t>
      </w:r>
      <w:r>
        <w:rPr>
          <w:rFonts w:hint="eastAsia"/>
          <w:color w:val="000000"/>
          <w:sz w:val="32"/>
          <w:szCs w:val="32"/>
          <w:lang w:val="en-US" w:eastAsia="zh-CN"/>
        </w:rPr>
        <w:t>2022年度</w:t>
      </w:r>
      <w:r>
        <w:rPr>
          <w:rFonts w:eastAsia="仿宋_GB2312"/>
          <w:color w:val="000000"/>
          <w:sz w:val="32"/>
          <w:szCs w:val="32"/>
        </w:rPr>
        <w:t>“四本预算”支出的绩效目标完成情况</w:t>
      </w:r>
      <w:r>
        <w:rPr>
          <w:rFonts w:hint="eastAsia"/>
          <w:color w:val="000000"/>
          <w:sz w:val="32"/>
          <w:szCs w:val="32"/>
          <w:lang w:val="en-US" w:eastAsia="zh-CN"/>
        </w:rPr>
        <w:t>如下：</w:t>
      </w:r>
    </w:p>
    <w:p>
      <w:pPr>
        <w:keepNext w:val="0"/>
        <w:keepLines w:val="0"/>
        <w:pageBreakBefore w:val="0"/>
        <w:numPr>
          <w:ilvl w:val="0"/>
          <w:numId w:val="4"/>
        </w:numPr>
        <w:kinsoku/>
        <w:wordWrap/>
        <w:overflowPunct/>
        <w:topLinePunct w:val="0"/>
        <w:autoSpaceDE/>
        <w:autoSpaceDN/>
        <w:bidi w:val="0"/>
        <w:spacing w:line="560" w:lineRule="exact"/>
        <w:ind w:left="-13" w:leftChars="0" w:firstLine="643" w:firstLineChars="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深入</w:t>
      </w:r>
      <w:r>
        <w:rPr>
          <w:rFonts w:hint="eastAsia" w:ascii="楷体_GB2312" w:hAnsi="楷体_GB2312" w:eastAsia="楷体_GB2312" w:cs="楷体_GB2312"/>
          <w:b/>
          <w:bCs/>
          <w:color w:val="auto"/>
          <w:sz w:val="32"/>
          <w:szCs w:val="32"/>
          <w:highlight w:val="none"/>
        </w:rPr>
        <w:t>开展</w:t>
      </w:r>
      <w:r>
        <w:rPr>
          <w:rFonts w:hint="eastAsia" w:ascii="楷体_GB2312" w:hAnsi="楷体_GB2312" w:eastAsia="楷体_GB2312" w:cs="楷体_GB2312"/>
          <w:b/>
          <w:bCs/>
          <w:color w:val="auto"/>
          <w:sz w:val="32"/>
          <w:szCs w:val="32"/>
          <w:highlight w:val="none"/>
          <w:lang w:val="en-US" w:eastAsia="zh-CN"/>
        </w:rPr>
        <w:t>理论学习教育</w:t>
      </w:r>
      <w:r>
        <w:rPr>
          <w:rFonts w:hint="eastAsia" w:ascii="楷体_GB2312" w:hAnsi="楷体_GB2312" w:eastAsia="楷体_GB2312" w:cs="楷体_GB2312"/>
          <w:b/>
          <w:bCs/>
          <w:color w:val="auto"/>
          <w:sz w:val="32"/>
          <w:szCs w:val="32"/>
          <w:highlight w:val="none"/>
        </w:rPr>
        <w:t>。</w:t>
      </w:r>
    </w:p>
    <w:p>
      <w:pPr>
        <w:keepNext w:val="0"/>
        <w:keepLines w:val="0"/>
        <w:pageBreakBefore w:val="0"/>
        <w:numPr>
          <w:ilvl w:val="0"/>
          <w:numId w:val="0"/>
        </w:numPr>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1.不断</w:t>
      </w:r>
      <w:r>
        <w:rPr>
          <w:rFonts w:hint="eastAsia" w:ascii="仿宋_GB2312" w:hAnsi="仿宋_GB2312" w:eastAsia="仿宋_GB2312" w:cs="仿宋_GB2312"/>
          <w:b/>
          <w:bCs/>
          <w:color w:val="auto"/>
          <w:sz w:val="32"/>
          <w:szCs w:val="32"/>
          <w:highlight w:val="none"/>
        </w:rPr>
        <w:t>加强党</w:t>
      </w:r>
      <w:r>
        <w:rPr>
          <w:rFonts w:hint="eastAsia" w:ascii="仿宋_GB2312" w:hAnsi="仿宋_GB2312" w:eastAsia="仿宋_GB2312" w:cs="仿宋_GB2312"/>
          <w:b/>
          <w:bCs/>
          <w:color w:val="auto"/>
          <w:sz w:val="32"/>
          <w:szCs w:val="32"/>
          <w:highlight w:val="none"/>
          <w:lang w:val="en-US" w:eastAsia="zh-CN"/>
        </w:rPr>
        <w:t>员</w:t>
      </w:r>
      <w:r>
        <w:rPr>
          <w:rFonts w:hint="eastAsia" w:ascii="仿宋_GB2312" w:hAnsi="仿宋_GB2312" w:eastAsia="仿宋_GB2312" w:cs="仿宋_GB2312"/>
          <w:b/>
          <w:bCs/>
          <w:color w:val="auto"/>
          <w:sz w:val="32"/>
          <w:szCs w:val="32"/>
          <w:highlight w:val="none"/>
        </w:rPr>
        <w:t>干部</w:t>
      </w:r>
      <w:r>
        <w:rPr>
          <w:rFonts w:hint="eastAsia" w:ascii="仿宋_GB2312" w:hAnsi="仿宋_GB2312" w:eastAsia="仿宋_GB2312" w:cs="仿宋_GB2312"/>
          <w:b/>
          <w:bCs/>
          <w:color w:val="auto"/>
          <w:sz w:val="32"/>
          <w:szCs w:val="32"/>
          <w:highlight w:val="none"/>
          <w:lang w:val="en-US" w:eastAsia="zh-CN"/>
        </w:rPr>
        <w:t>理论学习。</w:t>
      </w:r>
      <w:r>
        <w:rPr>
          <w:rFonts w:hint="eastAsia" w:ascii="仿宋_GB2312" w:hAnsi="仿宋_GB2312" w:eastAsia="仿宋_GB2312" w:cs="仿宋_GB2312"/>
          <w:color w:val="auto"/>
          <w:sz w:val="32"/>
          <w:szCs w:val="32"/>
          <w:highlight w:val="none"/>
        </w:rPr>
        <w:t>坚持用习近平新时代中国特色社会主义思想来破解工作难题，将学习习近平总书记关于党史的重要论述作为推动事业前进的必修课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局党组采取理论学习中心组学习</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举办读书班等形式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局</w:t>
      </w:r>
      <w:r>
        <w:rPr>
          <w:rFonts w:hint="eastAsia" w:ascii="仿宋_GB2312" w:hAnsi="仿宋_GB2312" w:eastAsia="仿宋_GB2312" w:cs="仿宋_GB2312"/>
          <w:color w:val="auto"/>
          <w:sz w:val="32"/>
          <w:szCs w:val="32"/>
          <w:highlight w:val="none"/>
        </w:rPr>
        <w:t>党支部采取“三会一课”</w:t>
      </w:r>
      <w:r>
        <w:rPr>
          <w:rFonts w:hint="eastAsia" w:ascii="仿宋_GB2312" w:hAnsi="仿宋_GB2312" w:eastAsia="仿宋_GB2312" w:cs="仿宋_GB2312"/>
          <w:color w:val="auto"/>
          <w:sz w:val="32"/>
          <w:szCs w:val="32"/>
          <w:highlight w:val="none"/>
          <w:lang w:val="en-US" w:eastAsia="zh-CN"/>
        </w:rPr>
        <w:t>等形式全面加强培训教育，不断创新活动方式，</w:t>
      </w:r>
      <w:r>
        <w:rPr>
          <w:rFonts w:hint="eastAsia" w:ascii="仿宋_GB2312" w:hAnsi="仿宋_GB2312" w:eastAsia="仿宋_GB2312" w:cs="仿宋_GB2312"/>
          <w:color w:val="auto"/>
          <w:kern w:val="2"/>
          <w:sz w:val="32"/>
          <w:szCs w:val="32"/>
          <w:highlight w:val="none"/>
          <w:lang w:val="en-US" w:eastAsia="zh-CN" w:bidi="ar-SA"/>
        </w:rPr>
        <w:t>在秀峰公园开展“强党性、健体魄、聚合日”主题党日活动，通过跳绳、拔河、爬山比赛，不断增加干部职工的凝聚力、向心力。</w:t>
      </w:r>
      <w:r>
        <w:rPr>
          <w:rFonts w:hint="eastAsia" w:ascii="仿宋_GB2312" w:hAnsi="仿宋_GB2312" w:eastAsia="仿宋_GB2312" w:cs="仿宋_GB2312"/>
          <w:color w:val="auto"/>
          <w:sz w:val="32"/>
          <w:szCs w:val="32"/>
          <w:highlight w:val="none"/>
          <w:lang w:eastAsia="zh-CN"/>
        </w:rPr>
        <w:t>截至</w:t>
      </w:r>
      <w:r>
        <w:rPr>
          <w:rFonts w:hint="eastAsia" w:ascii="仿宋_GB2312" w:hAnsi="仿宋_GB2312" w:cs="仿宋_GB2312"/>
          <w:color w:val="auto"/>
          <w:sz w:val="32"/>
          <w:szCs w:val="32"/>
          <w:highlight w:val="none"/>
          <w:lang w:val="en-US" w:eastAsia="zh-CN"/>
        </w:rPr>
        <w:t>2022年底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先后</w:t>
      </w:r>
      <w:r>
        <w:rPr>
          <w:rFonts w:hint="eastAsia" w:ascii="仿宋_GB2312" w:hAnsi="仿宋_GB2312" w:eastAsia="仿宋_GB2312" w:cs="仿宋_GB2312"/>
          <w:color w:val="auto"/>
          <w:sz w:val="32"/>
          <w:szCs w:val="32"/>
          <w:highlight w:val="none"/>
          <w:lang w:eastAsia="zh-CN"/>
        </w:rPr>
        <w:t>组织</w:t>
      </w:r>
      <w:r>
        <w:rPr>
          <w:rFonts w:hint="eastAsia" w:ascii="仿宋_GB2312" w:hAnsi="仿宋_GB2312" w:eastAsia="仿宋_GB2312" w:cs="仿宋_GB2312"/>
          <w:color w:val="auto"/>
          <w:sz w:val="32"/>
          <w:szCs w:val="32"/>
          <w:highlight w:val="none"/>
          <w:lang w:val="en-US" w:eastAsia="zh-CN"/>
        </w:rPr>
        <w:t>开展党组</w:t>
      </w:r>
      <w:r>
        <w:rPr>
          <w:rFonts w:hint="eastAsia" w:ascii="仿宋_GB2312" w:hAnsi="仿宋_GB2312" w:eastAsia="仿宋_GB2312" w:cs="仿宋_GB2312"/>
          <w:color w:val="auto"/>
          <w:sz w:val="32"/>
          <w:szCs w:val="32"/>
          <w:highlight w:val="none"/>
          <w:lang w:eastAsia="zh-CN"/>
        </w:rPr>
        <w:t>理论中心组学习</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eastAsia="zh-CN"/>
        </w:rPr>
        <w:t>次、</w:t>
      </w:r>
      <w:r>
        <w:rPr>
          <w:rFonts w:hint="eastAsia" w:ascii="仿宋_GB2312" w:hAnsi="仿宋_GB2312" w:eastAsia="仿宋_GB2312" w:cs="仿宋_GB2312"/>
          <w:color w:val="auto"/>
          <w:sz w:val="32"/>
          <w:szCs w:val="32"/>
          <w:highlight w:val="none"/>
          <w:lang w:val="en-US" w:eastAsia="zh-CN"/>
        </w:rPr>
        <w:t>局班子</w:t>
      </w:r>
      <w:r>
        <w:rPr>
          <w:rFonts w:hint="eastAsia" w:ascii="仿宋_GB2312" w:hAnsi="仿宋_GB2312" w:eastAsia="仿宋_GB2312" w:cs="仿宋_GB2312"/>
          <w:color w:val="auto"/>
          <w:sz w:val="32"/>
          <w:szCs w:val="32"/>
          <w:highlight w:val="none"/>
          <w:lang w:eastAsia="zh-CN"/>
        </w:rPr>
        <w:t>专题学习</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eastAsia="zh-CN"/>
        </w:rPr>
        <w:t>次，党员集中学习</w:t>
      </w: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lang w:eastAsia="zh-CN"/>
        </w:rPr>
        <w:t>次，党员撰写心得体会</w:t>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lang w:eastAsia="zh-CN"/>
        </w:rPr>
        <w:t>多篇，</w:t>
      </w:r>
      <w:r>
        <w:rPr>
          <w:rFonts w:hint="eastAsia" w:ascii="仿宋_GB2312" w:hAnsi="仿宋_GB2312" w:eastAsia="仿宋_GB2312" w:cs="仿宋_GB2312"/>
          <w:color w:val="auto"/>
          <w:sz w:val="32"/>
          <w:szCs w:val="32"/>
          <w:highlight w:val="none"/>
          <w:lang w:val="en-US" w:eastAsia="zh-CN"/>
        </w:rPr>
        <w:t>报送</w:t>
      </w:r>
      <w:r>
        <w:rPr>
          <w:rFonts w:hint="eastAsia" w:ascii="仿宋_GB2312" w:hAnsi="仿宋_GB2312" w:eastAsia="仿宋_GB2312" w:cs="仿宋_GB2312"/>
          <w:color w:val="auto"/>
          <w:sz w:val="32"/>
          <w:szCs w:val="32"/>
          <w:highlight w:val="none"/>
          <w:lang w:eastAsia="zh-CN"/>
        </w:rPr>
        <w:t>相关稿件</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lang w:eastAsia="zh-CN"/>
        </w:rPr>
        <w:t>余篇。</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kern w:val="2"/>
          <w:sz w:val="32"/>
          <w:szCs w:val="32"/>
          <w:highlight w:val="none"/>
          <w:lang w:val="en-US" w:eastAsia="zh-CN" w:bidi="ar-SA"/>
        </w:rPr>
        <w:t>2.</w:t>
      </w:r>
      <w:r>
        <w:rPr>
          <w:rFonts w:hint="eastAsia" w:ascii="仿宋_GB2312" w:hAnsi="仿宋_GB2312" w:eastAsia="仿宋_GB2312" w:cs="仿宋_GB2312"/>
          <w:b/>
          <w:bCs/>
          <w:color w:val="auto"/>
          <w:sz w:val="32"/>
          <w:szCs w:val="32"/>
          <w:highlight w:val="none"/>
          <w:lang w:val="en-US" w:eastAsia="zh-CN"/>
        </w:rPr>
        <w:t>不断务实为民服务发展举措</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是全力推进“百干联千企”工作。深入交通运输企业、联点社区等基层开展实践帮扶活动，认领解决区级交办问题25个。二是全力服务好行业重大项目。全域协调做好北横线（开福区段）、兴联路大桥、万家丽路北延线建设对接工作，及时了解和解决施工过程中出现的问题，积极配合各单位加快项目推进情况。三是全心做好12345市民政务热线服务。截至</w:t>
      </w:r>
      <w:r>
        <w:rPr>
          <w:rFonts w:hint="eastAsia" w:ascii="仿宋_GB2312" w:hAnsi="仿宋_GB2312" w:cs="仿宋_GB2312"/>
          <w:color w:val="auto"/>
          <w:sz w:val="32"/>
          <w:szCs w:val="32"/>
          <w:highlight w:val="none"/>
          <w:lang w:val="en-US" w:eastAsia="zh-CN"/>
        </w:rPr>
        <w:t>2022年底</w:t>
      </w:r>
      <w:r>
        <w:rPr>
          <w:rFonts w:hint="eastAsia" w:ascii="仿宋_GB2312" w:hAnsi="仿宋_GB2312" w:eastAsia="仿宋_GB2312" w:cs="仿宋_GB2312"/>
          <w:color w:val="auto"/>
          <w:sz w:val="32"/>
          <w:szCs w:val="32"/>
          <w:highlight w:val="none"/>
          <w:lang w:val="en-US" w:eastAsia="zh-CN"/>
        </w:rPr>
        <w:t>，积极回应12345市民热线425条，其中，物流企业运输退费纠纷占投诉总量的90%，均已按照市民建议完成办理。若无法达成和解，也会精心指导市民按照相关规定走司法途径争取达成共识，确保申诉到位，尽最大努力、最大可能让市民满意，真正做到情为民所系，利为民所谋。</w:t>
      </w:r>
    </w:p>
    <w:p>
      <w:pPr>
        <w:keepNext w:val="0"/>
        <w:keepLines w:val="0"/>
        <w:pageBreakBefore w:val="0"/>
        <w:numPr>
          <w:ilvl w:val="0"/>
          <w:numId w:val="0"/>
        </w:numPr>
        <w:kinsoku/>
        <w:wordWrap/>
        <w:overflowPunct/>
        <w:topLinePunct w:val="0"/>
        <w:autoSpaceDE/>
        <w:autoSpaceDN/>
        <w:bidi w:val="0"/>
        <w:spacing w:line="560" w:lineRule="exact"/>
        <w:ind w:left="0" w:lef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lang w:val="en-US" w:eastAsia="zh-CN"/>
        </w:rPr>
        <w:t>二</w:t>
      </w:r>
      <w:r>
        <w:rPr>
          <w:rFonts w:hint="eastAsia" w:ascii="楷体" w:hAnsi="楷体" w:eastAsia="楷体" w:cs="楷体"/>
          <w:b/>
          <w:bCs/>
          <w:color w:val="auto"/>
          <w:sz w:val="32"/>
          <w:szCs w:val="32"/>
          <w:highlight w:val="none"/>
          <w:lang w:eastAsia="zh-CN"/>
        </w:rPr>
        <w:t>）</w:t>
      </w:r>
      <w:r>
        <w:rPr>
          <w:rFonts w:hint="eastAsia" w:ascii="楷体" w:hAnsi="楷体" w:eastAsia="楷体" w:cs="楷体"/>
          <w:b/>
          <w:bCs/>
          <w:color w:val="auto"/>
          <w:sz w:val="32"/>
          <w:szCs w:val="32"/>
          <w:highlight w:val="none"/>
          <w:lang w:val="en-US" w:eastAsia="zh-CN"/>
        </w:rPr>
        <w:t>有效</w:t>
      </w:r>
      <w:r>
        <w:rPr>
          <w:rFonts w:hint="eastAsia" w:ascii="楷体" w:hAnsi="楷体" w:eastAsia="楷体" w:cs="楷体"/>
          <w:b/>
          <w:bCs/>
          <w:color w:val="auto"/>
          <w:sz w:val="32"/>
          <w:szCs w:val="32"/>
          <w:highlight w:val="none"/>
        </w:rPr>
        <w:t>促进行业健康发展。</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优化绿色交通站点建设。</w:t>
      </w:r>
      <w:r>
        <w:rPr>
          <w:rFonts w:hint="eastAsia" w:ascii="仿宋_GB2312" w:hAnsi="仿宋_GB2312" w:eastAsia="仿宋_GB2312" w:cs="仿宋_GB2312"/>
          <w:color w:val="auto"/>
          <w:sz w:val="32"/>
          <w:szCs w:val="32"/>
          <w:highlight w:val="none"/>
          <w:lang w:val="en-US" w:eastAsia="zh-CN"/>
        </w:rPr>
        <w:t>一是</w:t>
      </w:r>
      <w:r>
        <w:rPr>
          <w:rFonts w:hint="eastAsia" w:ascii="仿宋_GB2312" w:hAnsi="仿宋_GB2312" w:eastAsia="仿宋_GB2312" w:cs="仿宋_GB2312"/>
          <w:color w:val="auto"/>
          <w:sz w:val="32"/>
          <w:szCs w:val="32"/>
          <w:highlight w:val="none"/>
        </w:rPr>
        <w:t>协调市交通运输局做好公交线路的增设、优化和调整工作。积极协调市交通运输局，为未来科技产业城、</w:t>
      </w:r>
      <w:r>
        <w:rPr>
          <w:rFonts w:hint="eastAsia" w:ascii="仿宋_GB2312" w:hAnsi="仿宋_GB2312" w:eastAsia="仿宋_GB2312" w:cs="仿宋_GB2312"/>
          <w:color w:val="auto"/>
          <w:sz w:val="32"/>
          <w:szCs w:val="32"/>
          <w:highlight w:val="none"/>
          <w:lang w:val="en-US" w:eastAsia="zh-CN"/>
        </w:rPr>
        <w:t>福城社区、长沙市青少年宫、</w:t>
      </w:r>
      <w:r>
        <w:rPr>
          <w:rFonts w:hint="eastAsia" w:ascii="仿宋_GB2312" w:hAnsi="仿宋_GB2312" w:eastAsia="仿宋_GB2312" w:cs="仿宋_GB2312"/>
          <w:color w:val="auto"/>
          <w:sz w:val="32"/>
          <w:szCs w:val="32"/>
          <w:highlight w:val="none"/>
        </w:rPr>
        <w:t>长沙医药产业园等园区、企业调整129路、257路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283路、112</w:t>
      </w:r>
      <w:r>
        <w:rPr>
          <w:rFonts w:hint="eastAsia" w:ascii="仿宋_GB2312" w:hAnsi="仿宋_GB2312" w:eastAsia="仿宋_GB2312" w:cs="仿宋_GB2312"/>
          <w:color w:val="auto"/>
          <w:sz w:val="32"/>
          <w:szCs w:val="32"/>
          <w:highlight w:val="none"/>
        </w:rPr>
        <w:t>路等公交线路，为秀峰街道顺天御岭小区增设公交站点，</w:t>
      </w:r>
      <w:r>
        <w:rPr>
          <w:rFonts w:hint="eastAsia" w:ascii="仿宋_GB2312" w:hAnsi="仿宋_GB2312" w:eastAsia="仿宋_GB2312" w:cs="仿宋_GB2312"/>
          <w:color w:val="auto"/>
          <w:sz w:val="32"/>
          <w:szCs w:val="32"/>
          <w:highlight w:val="none"/>
          <w:lang w:val="en-US" w:eastAsia="zh-CN"/>
        </w:rPr>
        <w:t>共</w:t>
      </w:r>
      <w:r>
        <w:rPr>
          <w:rFonts w:hint="eastAsia" w:ascii="仿宋_GB2312" w:hAnsi="仿宋_GB2312" w:eastAsia="仿宋_GB2312" w:cs="仿宋_GB2312"/>
          <w:color w:val="auto"/>
          <w:sz w:val="32"/>
          <w:szCs w:val="32"/>
          <w:highlight w:val="none"/>
        </w:rPr>
        <w:t>处理群众投诉建议</w:t>
      </w:r>
      <w:r>
        <w:rPr>
          <w:rFonts w:hint="eastAsia" w:ascii="仿宋_GB2312" w:hAnsi="仿宋_GB2312" w:eastAsia="仿宋_GB2312" w:cs="仿宋_GB2312"/>
          <w:color w:val="auto"/>
          <w:sz w:val="32"/>
          <w:szCs w:val="32"/>
          <w:highlight w:val="none"/>
          <w:lang w:val="en-US" w:eastAsia="zh-CN"/>
        </w:rPr>
        <w:t>18</w:t>
      </w:r>
      <w:r>
        <w:rPr>
          <w:rFonts w:hint="eastAsia" w:ascii="仿宋_GB2312" w:hAnsi="仿宋_GB2312" w:eastAsia="仿宋_GB2312" w:cs="仿宋_GB2312"/>
          <w:color w:val="auto"/>
          <w:sz w:val="32"/>
          <w:szCs w:val="32"/>
          <w:highlight w:val="none"/>
        </w:rPr>
        <w:t>起，为我区市民提供良好的公交</w:t>
      </w:r>
      <w:r>
        <w:rPr>
          <w:rFonts w:hint="eastAsia" w:ascii="仿宋_GB2312" w:hAnsi="仿宋_GB2312" w:eastAsia="仿宋_GB2312" w:cs="仿宋_GB2312"/>
          <w:color w:val="auto"/>
          <w:sz w:val="32"/>
          <w:szCs w:val="32"/>
          <w:highlight w:val="none"/>
          <w:lang w:val="en-US" w:eastAsia="zh-CN"/>
        </w:rPr>
        <w:t>出行</w:t>
      </w:r>
      <w:r>
        <w:rPr>
          <w:rFonts w:hint="eastAsia" w:ascii="仿宋_GB2312" w:hAnsi="仿宋_GB2312" w:eastAsia="仿宋_GB2312" w:cs="仿宋_GB2312"/>
          <w:color w:val="auto"/>
          <w:sz w:val="32"/>
          <w:szCs w:val="32"/>
          <w:highlight w:val="none"/>
        </w:rPr>
        <w:t>服务环境。</w:t>
      </w:r>
      <w:r>
        <w:rPr>
          <w:rFonts w:hint="eastAsia" w:ascii="仿宋_GB2312" w:hAnsi="仿宋_GB2312" w:eastAsia="仿宋_GB2312" w:cs="仿宋_GB2312"/>
          <w:color w:val="auto"/>
          <w:sz w:val="32"/>
          <w:szCs w:val="32"/>
          <w:highlight w:val="none"/>
          <w:lang w:val="en-US" w:eastAsia="zh-CN"/>
        </w:rPr>
        <w:t>二是积极</w:t>
      </w:r>
      <w:r>
        <w:rPr>
          <w:rFonts w:hint="eastAsia" w:ascii="仿宋_GB2312" w:hAnsi="仿宋_GB2312" w:eastAsia="仿宋_GB2312" w:cs="仿宋_GB2312"/>
          <w:color w:val="auto"/>
          <w:sz w:val="32"/>
          <w:szCs w:val="32"/>
          <w:highlight w:val="none"/>
        </w:rPr>
        <w:t>解决农村群众出行难题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为贯彻</w:t>
      </w:r>
      <w:r>
        <w:rPr>
          <w:rFonts w:hint="eastAsia" w:ascii="仿宋_GB2312" w:hAnsi="仿宋_GB2312" w:eastAsia="仿宋_GB2312" w:cs="仿宋_GB2312"/>
          <w:color w:val="auto"/>
          <w:sz w:val="32"/>
          <w:szCs w:val="32"/>
          <w:highlight w:val="none"/>
        </w:rPr>
        <w:t>“城区农村公交实现全覆盖”</w:t>
      </w:r>
      <w:r>
        <w:rPr>
          <w:rFonts w:hint="eastAsia" w:ascii="仿宋_GB2312" w:hAnsi="仿宋_GB2312" w:eastAsia="仿宋_GB2312" w:cs="仿宋_GB2312"/>
          <w:color w:val="auto"/>
          <w:sz w:val="32"/>
          <w:szCs w:val="32"/>
          <w:highlight w:val="none"/>
          <w:lang w:val="en-US" w:eastAsia="zh-CN"/>
        </w:rPr>
        <w:t>的要求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已于8月30日</w:t>
      </w:r>
      <w:r>
        <w:rPr>
          <w:rFonts w:hint="eastAsia" w:ascii="仿宋_GB2312" w:hAnsi="仿宋_GB2312" w:eastAsia="仿宋_GB2312" w:cs="仿宋_GB2312"/>
          <w:color w:val="auto"/>
          <w:sz w:val="32"/>
          <w:szCs w:val="32"/>
          <w:highlight w:val="none"/>
        </w:rPr>
        <w:t>完成农村公交线路</w:t>
      </w:r>
      <w:r>
        <w:rPr>
          <w:rFonts w:hint="eastAsia" w:ascii="仿宋_GB2312" w:hAnsi="仿宋_GB2312" w:eastAsia="仿宋_GB2312" w:cs="仿宋_GB2312"/>
          <w:color w:val="auto"/>
          <w:sz w:val="32"/>
          <w:szCs w:val="32"/>
          <w:highlight w:val="none"/>
          <w:lang w:val="en-US" w:eastAsia="zh-CN"/>
        </w:rPr>
        <w:t>C3线路(沙坪湘绣城-园林生态园）</w:t>
      </w:r>
      <w:r>
        <w:rPr>
          <w:rFonts w:hint="eastAsia" w:ascii="仿宋_GB2312" w:hAnsi="仿宋_GB2312" w:eastAsia="仿宋_GB2312" w:cs="仿宋_GB2312"/>
          <w:color w:val="auto"/>
          <w:sz w:val="32"/>
          <w:szCs w:val="32"/>
          <w:highlight w:val="none"/>
        </w:rPr>
        <w:t>通车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计划</w:t>
      </w:r>
      <w:r>
        <w:rPr>
          <w:rFonts w:hint="eastAsia" w:ascii="仿宋_GB2312" w:hAnsi="仿宋_GB2312" w:eastAsia="仿宋_GB2312" w:cs="仿宋_GB2312"/>
          <w:color w:val="auto"/>
          <w:sz w:val="32"/>
          <w:szCs w:val="32"/>
          <w:highlight w:val="none"/>
          <w:lang w:val="en-US" w:eastAsia="zh-CN"/>
        </w:rPr>
        <w:t>年底前完成C4线路（青竹湖公交首末站-新源社区）</w:t>
      </w:r>
      <w:r>
        <w:rPr>
          <w:rFonts w:hint="eastAsia" w:ascii="仿宋_GB2312" w:hAnsi="仿宋_GB2312" w:eastAsia="仿宋_GB2312" w:cs="仿宋_GB2312"/>
          <w:color w:val="auto"/>
          <w:sz w:val="32"/>
          <w:szCs w:val="32"/>
          <w:highlight w:val="none"/>
        </w:rPr>
        <w:t>通车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帮助</w:t>
      </w:r>
      <w:r>
        <w:rPr>
          <w:rFonts w:hint="eastAsia" w:ascii="仿宋_GB2312" w:hAnsi="仿宋_GB2312" w:eastAsia="仿宋_GB2312" w:cs="仿宋_GB2312"/>
          <w:color w:val="auto"/>
          <w:sz w:val="32"/>
          <w:szCs w:val="32"/>
          <w:highlight w:val="none"/>
        </w:rPr>
        <w:t>捞刀河街道罗汉庄村，沙坪街道茶子山村、双塘村、竹安村、汉回村，青竹湖街道新源社区等</w:t>
      </w:r>
      <w:r>
        <w:rPr>
          <w:rFonts w:hint="eastAsia" w:ascii="仿宋_GB2312" w:hAnsi="仿宋_GB2312" w:eastAsia="仿宋_GB2312" w:cs="仿宋_GB2312"/>
          <w:color w:val="auto"/>
          <w:sz w:val="32"/>
          <w:szCs w:val="32"/>
          <w:highlight w:val="none"/>
          <w:lang w:val="en-US" w:eastAsia="zh-CN"/>
        </w:rPr>
        <w:t>化解难题。三是</w:t>
      </w:r>
      <w:r>
        <w:rPr>
          <w:rFonts w:hint="eastAsia" w:ascii="仿宋_GB2312" w:hAnsi="仿宋_GB2312" w:eastAsia="仿宋_GB2312" w:cs="仿宋_GB2312"/>
          <w:color w:val="auto"/>
          <w:sz w:val="32"/>
          <w:szCs w:val="32"/>
          <w:highlight w:val="none"/>
        </w:rPr>
        <w:t>扎实推进我区市容环境公交专项整治工作。督促市属达羡广告公司、开福区城投、金霞发展集团等建设单位进行对公交站台进行清洁、整改。协调处理外观破损修复</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处，处理掉画与褶皱</w:t>
      </w:r>
      <w:r>
        <w:rPr>
          <w:rFonts w:hint="eastAsia" w:ascii="仿宋_GB2312" w:hAnsi="仿宋_GB2312" w:eastAsia="仿宋_GB2312" w:cs="仿宋_GB2312"/>
          <w:color w:val="auto"/>
          <w:sz w:val="32"/>
          <w:szCs w:val="32"/>
          <w:highlight w:val="none"/>
          <w:lang w:val="en-US" w:eastAsia="zh-CN"/>
        </w:rPr>
        <w:t>66</w:t>
      </w:r>
      <w:r>
        <w:rPr>
          <w:rFonts w:hint="eastAsia" w:ascii="仿宋_GB2312" w:hAnsi="仿宋_GB2312" w:eastAsia="仿宋_GB2312" w:cs="仿宋_GB2312"/>
          <w:color w:val="auto"/>
          <w:sz w:val="32"/>
          <w:szCs w:val="32"/>
          <w:highlight w:val="none"/>
        </w:rPr>
        <w:t>处，清洁牛皮癣小广告</w:t>
      </w:r>
      <w:r>
        <w:rPr>
          <w:rFonts w:hint="eastAsia" w:ascii="仿宋_GB2312" w:hAnsi="仿宋_GB2312" w:eastAsia="仿宋_GB2312" w:cs="仿宋_GB2312"/>
          <w:color w:val="auto"/>
          <w:sz w:val="32"/>
          <w:szCs w:val="32"/>
          <w:highlight w:val="none"/>
          <w:lang w:val="en-US" w:eastAsia="zh-CN"/>
        </w:rPr>
        <w:t>432</w:t>
      </w:r>
      <w:r>
        <w:rPr>
          <w:rFonts w:hint="eastAsia" w:ascii="仿宋_GB2312" w:hAnsi="仿宋_GB2312" w:eastAsia="仿宋_GB2312" w:cs="仿宋_GB2312"/>
          <w:color w:val="auto"/>
          <w:sz w:val="32"/>
          <w:szCs w:val="32"/>
          <w:highlight w:val="none"/>
        </w:rPr>
        <w:t>处，清洗站牌</w:t>
      </w:r>
      <w:r>
        <w:rPr>
          <w:rFonts w:hint="eastAsia" w:ascii="仿宋_GB2312" w:hAnsi="仿宋_GB2312" w:eastAsia="仿宋_GB2312" w:cs="仿宋_GB2312"/>
          <w:color w:val="auto"/>
          <w:sz w:val="32"/>
          <w:szCs w:val="32"/>
          <w:highlight w:val="none"/>
          <w:lang w:val="en-US" w:eastAsia="zh-CN"/>
        </w:rPr>
        <w:t>380</w:t>
      </w:r>
      <w:r>
        <w:rPr>
          <w:rFonts w:hint="eastAsia" w:ascii="仿宋_GB2312" w:hAnsi="仿宋_GB2312" w:eastAsia="仿宋_GB2312" w:cs="仿宋_GB2312"/>
          <w:color w:val="auto"/>
          <w:sz w:val="32"/>
          <w:szCs w:val="32"/>
          <w:highlight w:val="none"/>
        </w:rPr>
        <w:t>块，维护维修站牌</w:t>
      </w:r>
      <w:r>
        <w:rPr>
          <w:rFonts w:hint="eastAsia" w:ascii="仿宋_GB2312" w:hAnsi="仿宋_GB2312" w:eastAsia="仿宋_GB2312" w:cs="仿宋_GB2312"/>
          <w:color w:val="auto"/>
          <w:sz w:val="32"/>
          <w:szCs w:val="32"/>
          <w:highlight w:val="none"/>
          <w:lang w:val="en-US" w:eastAsia="zh-CN"/>
        </w:rPr>
        <w:t>198</w:t>
      </w:r>
      <w:r>
        <w:rPr>
          <w:rFonts w:hint="eastAsia" w:ascii="仿宋_GB2312" w:hAnsi="仿宋_GB2312" w:eastAsia="仿宋_GB2312" w:cs="仿宋_GB2312"/>
          <w:color w:val="auto"/>
          <w:sz w:val="32"/>
          <w:szCs w:val="32"/>
          <w:highlight w:val="none"/>
        </w:rPr>
        <w:t>块，更换破损褪色公交站贴</w:t>
      </w:r>
      <w:r>
        <w:rPr>
          <w:rFonts w:hint="eastAsia" w:ascii="仿宋_GB2312" w:hAnsi="仿宋_GB2312" w:eastAsia="仿宋_GB2312" w:cs="仿宋_GB2312"/>
          <w:color w:val="auto"/>
          <w:sz w:val="32"/>
          <w:szCs w:val="32"/>
          <w:highlight w:val="none"/>
          <w:lang w:val="en-US" w:eastAsia="zh-CN"/>
        </w:rPr>
        <w:t>216</w:t>
      </w:r>
      <w:r>
        <w:rPr>
          <w:rFonts w:hint="eastAsia" w:ascii="仿宋_GB2312" w:hAnsi="仿宋_GB2312" w:eastAsia="仿宋_GB2312" w:cs="仿宋_GB2312"/>
          <w:color w:val="auto"/>
          <w:sz w:val="32"/>
          <w:szCs w:val="32"/>
          <w:highlight w:val="none"/>
        </w:rPr>
        <w:t>条，更换褪色公益</w:t>
      </w:r>
      <w:r>
        <w:rPr>
          <w:rFonts w:hint="eastAsia" w:ascii="仿宋_GB2312" w:hAnsi="仿宋_GB2312" w:eastAsia="仿宋_GB2312" w:cs="仿宋_GB2312"/>
          <w:color w:val="auto"/>
          <w:sz w:val="32"/>
          <w:szCs w:val="32"/>
          <w:highlight w:val="none"/>
          <w:lang w:val="en-US" w:eastAsia="zh-CN"/>
        </w:rPr>
        <w:t>98</w:t>
      </w:r>
      <w:r>
        <w:rPr>
          <w:rFonts w:hint="eastAsia" w:ascii="仿宋_GB2312" w:hAnsi="仿宋_GB2312" w:eastAsia="仿宋_GB2312" w:cs="仿宋_GB2312"/>
          <w:color w:val="auto"/>
          <w:sz w:val="32"/>
          <w:szCs w:val="32"/>
          <w:highlight w:val="none"/>
        </w:rPr>
        <w:t>幅。</w:t>
      </w:r>
    </w:p>
    <w:p>
      <w:pPr>
        <w:keepNext w:val="0"/>
        <w:keepLines w:val="0"/>
        <w:pageBreakBefore w:val="0"/>
        <w:widowControl w:val="0"/>
        <w:kinsoku/>
        <w:wordWrap/>
        <w:overflowPunct/>
        <w:topLinePunct w:val="0"/>
        <w:autoSpaceDE/>
        <w:autoSpaceDN/>
        <w:bidi w:val="0"/>
        <w:snapToGrid/>
        <w:spacing w:line="56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2.规范引导汽修行业发展。</w:t>
      </w:r>
      <w:r>
        <w:rPr>
          <w:rFonts w:hint="eastAsia" w:ascii="仿宋_GB2312" w:hAnsi="仿宋_GB2312" w:eastAsia="仿宋_GB2312" w:cs="仿宋_GB2312"/>
          <w:color w:val="auto"/>
          <w:kern w:val="2"/>
          <w:sz w:val="32"/>
          <w:szCs w:val="32"/>
          <w:highlight w:val="none"/>
          <w:lang w:val="en-US" w:eastAsia="zh-CN" w:bidi="ar-SA"/>
        </w:rPr>
        <w:t>一是在制度建设上下功夫。督促辖区维修企业按照行业标准完善环保设施，严格落实环保制度，按照行业规范标准进行操作。二是在日常监管上下功夫。严格落实“三级两巡”制度，严格执行“蓝天保卫战”要求，会同环保部门对辖区维修企业开展检查，定期查看企业环保制度制定和落实情况，检查危险品、废弃物分类处理和汽车喷漆作业情况。三是在集中整治上下功夫。截至2022年</w:t>
      </w:r>
      <w:r>
        <w:rPr>
          <w:rFonts w:hint="eastAsia" w:ascii="仿宋_GB2312" w:hAnsi="仿宋_GB2312" w:cs="仿宋_GB2312"/>
          <w:color w:val="auto"/>
          <w:kern w:val="2"/>
          <w:sz w:val="32"/>
          <w:szCs w:val="32"/>
          <w:highlight w:val="none"/>
          <w:lang w:val="en-US" w:eastAsia="zh-CN" w:bidi="ar-SA"/>
        </w:rPr>
        <w:t>底</w:t>
      </w:r>
      <w:r>
        <w:rPr>
          <w:rFonts w:hint="eastAsia" w:ascii="仿宋_GB2312" w:hAnsi="仿宋_GB2312" w:eastAsia="仿宋_GB2312" w:cs="仿宋_GB2312"/>
          <w:color w:val="auto"/>
          <w:kern w:val="2"/>
          <w:sz w:val="32"/>
          <w:szCs w:val="32"/>
          <w:highlight w:val="none"/>
          <w:lang w:val="en-US" w:eastAsia="zh-CN" w:bidi="ar-SA"/>
        </w:rPr>
        <w:t>，共检查维修企业157家，下达环境整改交办问题39单。</w:t>
      </w:r>
      <w:r>
        <w:rPr>
          <w:rFonts w:hint="eastAsia" w:eastAsia="仿宋_GB2312"/>
          <w:color w:val="auto"/>
          <w:sz w:val="32"/>
          <w:szCs w:val="32"/>
          <w:highlight w:val="none"/>
          <w:lang w:val="en-US" w:eastAsia="zh-CN"/>
        </w:rPr>
        <w:t>定期组织人员走访货运源头企业、维修企业，约谈企业负责人和环保负责人，开展主题宣传3次，发放资料200余份，有力提升企业从业人员的环保意识。</w:t>
      </w:r>
    </w:p>
    <w:p>
      <w:pPr>
        <w:pStyle w:val="4"/>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.做好行政审批监管服务。</w:t>
      </w:r>
      <w:r>
        <w:rPr>
          <w:rFonts w:hint="eastAsia" w:ascii="仿宋_GB2312" w:hAnsi="仿宋_GB2312" w:eastAsia="仿宋_GB2312" w:cs="仿宋_GB2312"/>
          <w:color w:val="auto"/>
          <w:kern w:val="2"/>
          <w:sz w:val="32"/>
          <w:szCs w:val="32"/>
          <w:highlight w:val="none"/>
          <w:lang w:val="en-US" w:eastAsia="zh-CN" w:bidi="ar-SA"/>
        </w:rPr>
        <w:t>一是加快数字化办公建设，打造“一网通办”的政务服务品牌，让群众体验到更多有速度、有力度、有温度的“审批服务”。二是加快道路货物运输市场诚信体系建设，进一步规范道路运输企业经营行为。通过上门走访的形式，对我区2家道路货运站（场）、64家道路普通货物运输企业进行质量信誉考核。三是加强治理超限超载联合整治。截至2022年</w:t>
      </w:r>
      <w:r>
        <w:rPr>
          <w:rFonts w:hint="eastAsia" w:ascii="仿宋_GB2312" w:hAnsi="仿宋_GB2312" w:cs="仿宋_GB2312"/>
          <w:color w:val="auto"/>
          <w:kern w:val="2"/>
          <w:sz w:val="32"/>
          <w:szCs w:val="32"/>
          <w:highlight w:val="none"/>
          <w:lang w:val="en-US" w:eastAsia="zh-CN" w:bidi="ar-SA"/>
        </w:rPr>
        <w:t>底</w:t>
      </w:r>
      <w:r>
        <w:rPr>
          <w:rFonts w:hint="eastAsia" w:ascii="仿宋_GB2312" w:hAnsi="仿宋_GB2312" w:eastAsia="仿宋_GB2312" w:cs="仿宋_GB2312"/>
          <w:color w:val="auto"/>
          <w:kern w:val="2"/>
          <w:sz w:val="32"/>
          <w:szCs w:val="32"/>
          <w:highlight w:val="none"/>
          <w:lang w:val="en-US" w:eastAsia="zh-CN" w:bidi="ar-SA"/>
        </w:rPr>
        <w:t>，我局联合市执法大队开展治超行动43次，并对有5台以上重型车辆的企业重点走访，共查处超限超载车辆614台，卸载货物6037吨；查处非法改拼装企业2家，责令改正、处罚源头企业5家，下达整改交办单67份。我区共有道路运输经营业户1598家，共有道路运输车辆5060台，</w:t>
      </w:r>
      <w:r>
        <w:rPr>
          <w:rFonts w:hint="eastAsia" w:ascii="仿宋_GB2312" w:hAnsi="仿宋_GB2312" w:cs="仿宋_GB2312"/>
          <w:color w:val="auto"/>
          <w:kern w:val="2"/>
          <w:sz w:val="32"/>
          <w:szCs w:val="32"/>
          <w:highlight w:val="none"/>
          <w:lang w:val="en-US" w:eastAsia="zh-CN" w:bidi="ar-SA"/>
        </w:rPr>
        <w:t>2022</w:t>
      </w:r>
      <w:r>
        <w:rPr>
          <w:rFonts w:hint="eastAsia" w:ascii="仿宋_GB2312" w:hAnsi="仿宋_GB2312" w:eastAsia="仿宋_GB2312" w:cs="仿宋_GB2312"/>
          <w:color w:val="auto"/>
          <w:kern w:val="2"/>
          <w:sz w:val="32"/>
          <w:szCs w:val="32"/>
          <w:highlight w:val="none"/>
          <w:lang w:val="en-US" w:eastAsia="zh-CN" w:bidi="ar-SA"/>
        </w:rPr>
        <w:t>年共新增道路运输经营业129家，新增道路运输车辆364台；共注销道路运输业户237家，注销道路运输车辆462台；完成2246台车辆道路运输证年审工作，共完成维修企业维修备案35家。</w:t>
      </w:r>
    </w:p>
    <w:p>
      <w:pPr>
        <w:keepNext w:val="0"/>
        <w:keepLines w:val="0"/>
        <w:pageBreakBefore w:val="0"/>
        <w:widowControl/>
        <w:kinsoku/>
        <w:wordWrap/>
        <w:overflowPunct/>
        <w:topLinePunct w:val="0"/>
        <w:autoSpaceDE/>
        <w:autoSpaceDN/>
        <w:bidi w:val="0"/>
        <w:spacing w:line="560" w:lineRule="exact"/>
        <w:ind w:left="0" w:leftChars="0"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val="en-US" w:eastAsia="zh-CN"/>
        </w:rPr>
        <w:t>三</w:t>
      </w:r>
      <w:r>
        <w:rPr>
          <w:rFonts w:hint="eastAsia" w:ascii="楷体" w:hAnsi="楷体" w:eastAsia="楷体" w:cs="楷体"/>
          <w:b/>
          <w:bCs/>
          <w:color w:val="auto"/>
          <w:sz w:val="32"/>
          <w:szCs w:val="32"/>
          <w:highlight w:val="none"/>
        </w:rPr>
        <w:t>）</w:t>
      </w:r>
      <w:r>
        <w:rPr>
          <w:rFonts w:hint="eastAsia" w:ascii="楷体" w:hAnsi="楷体" w:eastAsia="楷体" w:cs="楷体"/>
          <w:b/>
          <w:bCs/>
          <w:color w:val="auto"/>
          <w:sz w:val="32"/>
          <w:szCs w:val="32"/>
          <w:highlight w:val="none"/>
          <w:lang w:val="en-US" w:eastAsia="zh-CN"/>
        </w:rPr>
        <w:t>有力推进</w:t>
      </w:r>
      <w:r>
        <w:rPr>
          <w:rFonts w:hint="eastAsia" w:ascii="楷体" w:hAnsi="楷体" w:eastAsia="楷体" w:cs="楷体"/>
          <w:b/>
          <w:bCs/>
          <w:color w:val="auto"/>
          <w:sz w:val="32"/>
          <w:szCs w:val="32"/>
          <w:highlight w:val="none"/>
        </w:rPr>
        <w:t>农村公路建养管。</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CN"/>
        </w:rPr>
        <w:t>稳步推进农村公路建设。</w:t>
      </w:r>
      <w:r>
        <w:rPr>
          <w:rFonts w:hint="eastAsia" w:ascii="仿宋_GB2312" w:hAnsi="仿宋_GB2312" w:eastAsia="仿宋_GB2312" w:cs="仿宋_GB2312"/>
          <w:color w:val="auto"/>
          <w:kern w:val="2"/>
          <w:sz w:val="32"/>
          <w:szCs w:val="32"/>
          <w:highlight w:val="none"/>
          <w:lang w:val="en-US" w:eastAsia="zh-CN" w:bidi="ar-SA"/>
        </w:rPr>
        <w:t>根据乡村振兴战略和区委区政府下达的《2022年开福区重大项目投资计划》，开福区交通运输局2022年重点推进农村公路建设项目：一是投资1200万元完成各涉农街道农村公路土路硬化、提质改造、路面大修等10.7公里新改建。二是投入655万元对沙坪街道4.433公里和青竹湖街道2.726公里美丽宜居村庄道路进行提质改造。三是投资1100万元对汉沙公路南延线全线5.1km续建项目进行“白改黑”提质改造，并完善沿线安保和排水设施。四是投入480万元推进开福区城乡公交村村通线路提质改造项目。以上建设项目，目前已完成80%的工程进度，确保年底前按时完成本年度的建设任务，进一步完善我区农村公路路网建设，提升我区美丽乡村建设农村公路的品质和推进乡村振兴的进程。</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持续提升农村公路养护。一</w:t>
      </w:r>
      <w:r>
        <w:rPr>
          <w:rFonts w:hint="eastAsia" w:ascii="仿宋_GB2312" w:hAnsi="仿宋_GB2312" w:eastAsia="仿宋_GB2312" w:cs="仿宋_GB2312"/>
          <w:color w:val="auto"/>
          <w:sz w:val="32"/>
          <w:szCs w:val="32"/>
          <w:highlight w:val="none"/>
          <w:lang w:val="en-US" w:eastAsia="zh-CN"/>
        </w:rPr>
        <w:t>是坚持深化农村公路养护体制改革。从2022年度区级农村公路养护经费中列支305万元作为日常养护专项费用，保障全区511.67公里农村公路的日常养护。其中，投入98万对50.879公里县道日常养护继续采取市场化养护模式实施服务外包，制定《2022年开福区县道日常养护考核办法》和《2022年开福区涉农街道乡道、村道日常养护考核方案》对其分别进行考核，保证养护资金的效益最大化。二是强化农村公路路面破损修复。共投入资金326万元对黄乌线（X039）汉回段约520米路段进行大修，并对我区养护系统内破损严重的10条村组公路进行路面中修，对省厅考核检测线路中约18公里农村公路实施重点养护。在2022年湖南省交通厅对全省农村公路养护考评中，我区农村公路自动化检测评定优良中等路率达到92.74%。</w:t>
      </w:r>
    </w:p>
    <w:p>
      <w:pPr>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.全面推行农村公路“路长制”。</w:t>
      </w:r>
      <w:r>
        <w:rPr>
          <w:rFonts w:hint="eastAsia" w:ascii="仿宋_GB2312" w:hAnsi="仿宋_GB2312" w:eastAsia="仿宋_GB2312" w:cs="仿宋_GB2312"/>
          <w:color w:val="auto"/>
          <w:sz w:val="32"/>
          <w:szCs w:val="32"/>
          <w:highlight w:val="none"/>
          <w:lang w:val="en-US" w:eastAsia="zh-CN"/>
        </w:rPr>
        <w:t>一是将路长制与养护工作有效结合。将我区511.67公里农村公路（县道、乡道、村道）100%全部纳入“路长制“工作范围，对各级路长、分路长和路管员进行培训，构建长效闭环的监管体系。二是扎实开展农村公路整治。排查发现道路安全隐患76处，均已及时整治到位。共投入资金29.6万元，采用工程性措施完成9处重点路段安全隐患整治。通过应急工程，投入资金63万元对青竹湖街道太阳山社区、金霞新村社区、沙坪街道沙坪社区等水毁隐患路段进行整治。</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（四）</w:t>
      </w:r>
      <w:r>
        <w:rPr>
          <w:rFonts w:hint="eastAsia" w:ascii="楷体" w:hAnsi="楷体" w:eastAsia="楷体" w:cs="楷体"/>
          <w:b/>
          <w:bCs/>
          <w:color w:val="auto"/>
          <w:sz w:val="32"/>
          <w:szCs w:val="32"/>
          <w:highlight w:val="none"/>
          <w:lang w:val="en-US" w:eastAsia="zh-CN"/>
        </w:rPr>
        <w:t>全面</w:t>
      </w:r>
      <w:r>
        <w:rPr>
          <w:rFonts w:hint="eastAsia" w:ascii="楷体" w:hAnsi="楷体" w:eastAsia="楷体" w:cs="楷体"/>
          <w:b/>
          <w:bCs/>
          <w:color w:val="auto"/>
          <w:sz w:val="32"/>
          <w:szCs w:val="32"/>
          <w:highlight w:val="none"/>
        </w:rPr>
        <w:t>压实安全监管排查。</w:t>
      </w:r>
    </w:p>
    <w:p>
      <w:pPr>
        <w:pStyle w:val="5"/>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ascii="仿宋_GB2312" w:hAnsi="宋体" w:eastAsia="仿宋_GB2312" w:cs="宋体"/>
          <w:color w:val="auto"/>
          <w:kern w:val="0"/>
          <w:sz w:val="32"/>
          <w:szCs w:val="32"/>
          <w:highlight w:val="none"/>
          <w:lang w:val="en-US"/>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.加强顽瘴痼疾和铁路安全环境整治。</w:t>
      </w:r>
      <w:r>
        <w:rPr>
          <w:rFonts w:hint="eastAsia" w:ascii="仿宋_GB2312" w:hAnsi="宋体" w:eastAsia="仿宋_GB2312" w:cs="宋体"/>
          <w:color w:val="auto"/>
          <w:kern w:val="0"/>
          <w:sz w:val="32"/>
          <w:szCs w:val="32"/>
          <w:highlight w:val="none"/>
        </w:rPr>
        <w:t>一是严格落实“双段长”责任制，加强路地联动，及时处置并消除了秀峰街道辖区内树木倒伏石长线重大安全隐患</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二</w:t>
      </w:r>
      <w:r>
        <w:rPr>
          <w:rFonts w:hint="eastAsia" w:ascii="仿宋_GB2312" w:hAnsi="宋体" w:eastAsia="仿宋_GB2312" w:cs="宋体"/>
          <w:color w:val="auto"/>
          <w:kern w:val="0"/>
          <w:sz w:val="32"/>
          <w:szCs w:val="32"/>
          <w:highlight w:val="none"/>
        </w:rPr>
        <w:t>是以隐患整改、对账销号为目标，</w:t>
      </w:r>
      <w:r>
        <w:rPr>
          <w:rFonts w:hint="eastAsia" w:ascii="仿宋_GB2312" w:hAnsi="仿宋_GB2312" w:eastAsia="仿宋_GB2312" w:cs="仿宋_GB2312"/>
          <w:color w:val="auto"/>
          <w:sz w:val="32"/>
          <w:szCs w:val="32"/>
          <w:highlight w:val="none"/>
        </w:rPr>
        <w:t>按质按量完成</w:t>
      </w:r>
      <w:r>
        <w:rPr>
          <w:rFonts w:hint="eastAsia" w:ascii="仿宋_GB2312" w:hAnsi="仿宋_GB2312" w:eastAsia="仿宋_GB2312" w:cs="仿宋_GB2312"/>
          <w:color w:val="auto"/>
          <w:sz w:val="32"/>
          <w:szCs w:val="32"/>
          <w:highlight w:val="none"/>
          <w:lang w:eastAsia="zh-CN"/>
        </w:rPr>
        <w:t>了</w:t>
      </w:r>
      <w:r>
        <w:rPr>
          <w:rFonts w:hint="eastAsia" w:ascii="仿宋_GB2312" w:hAnsi="宋体" w:eastAsia="仿宋_GB2312" w:cs="宋体"/>
          <w:color w:val="auto"/>
          <w:kern w:val="0"/>
          <w:sz w:val="32"/>
          <w:szCs w:val="32"/>
          <w:highlight w:val="none"/>
        </w:rPr>
        <w:t>上级交办的</w:t>
      </w:r>
      <w:r>
        <w:rPr>
          <w:rFonts w:hint="eastAsia" w:ascii="仿宋_GB2312" w:hAnsi="宋体" w:eastAsia="仿宋_GB2312" w:cs="宋体"/>
          <w:color w:val="auto"/>
          <w:kern w:val="0"/>
          <w:sz w:val="32"/>
          <w:szCs w:val="32"/>
          <w:highlight w:val="none"/>
          <w:lang w:val="en-US" w:eastAsia="zh-CN"/>
        </w:rPr>
        <w:t>6处</w:t>
      </w:r>
      <w:r>
        <w:rPr>
          <w:rFonts w:hint="eastAsia" w:ascii="仿宋_GB2312" w:hAnsi="宋体" w:eastAsia="仿宋_GB2312" w:cs="宋体"/>
          <w:color w:val="auto"/>
          <w:kern w:val="0"/>
          <w:sz w:val="32"/>
          <w:szCs w:val="32"/>
          <w:highlight w:val="none"/>
        </w:rPr>
        <w:t>铁路沿线安全隐患整治任务</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督促长沙供水公司与铁路部门签订渡槽管养协议，完成秀峰街道境内跨铁渡槽交办问题整改；</w:t>
      </w:r>
      <w:r>
        <w:rPr>
          <w:rFonts w:hint="eastAsia" w:ascii="仿宋_GB2312" w:hAnsi="宋体" w:eastAsia="仿宋_GB2312" w:cs="宋体"/>
          <w:color w:val="auto"/>
          <w:kern w:val="0"/>
          <w:sz w:val="32"/>
          <w:szCs w:val="32"/>
          <w:highlight w:val="none"/>
          <w:lang w:val="en-US" w:eastAsia="zh-CN"/>
        </w:rPr>
        <w:t>三</w:t>
      </w:r>
      <w:r>
        <w:rPr>
          <w:rFonts w:hint="eastAsia" w:ascii="仿宋_GB2312" w:hAnsi="宋体" w:eastAsia="仿宋_GB2312" w:cs="宋体"/>
          <w:color w:val="auto"/>
          <w:kern w:val="0"/>
          <w:sz w:val="32"/>
          <w:szCs w:val="32"/>
          <w:highlight w:val="none"/>
          <w:lang w:eastAsia="zh-CN"/>
        </w:rPr>
        <w:t>是</w:t>
      </w:r>
      <w:r>
        <w:rPr>
          <w:rFonts w:hint="eastAsia" w:ascii="仿宋_GB2312" w:hAnsi="宋体" w:eastAsia="仿宋_GB2312" w:cs="宋体"/>
          <w:color w:val="auto"/>
          <w:kern w:val="0"/>
          <w:sz w:val="32"/>
          <w:szCs w:val="32"/>
          <w:highlight w:val="none"/>
          <w:lang w:val="en-US" w:eastAsia="zh-CN"/>
        </w:rPr>
        <w:t>全力</w:t>
      </w:r>
      <w:r>
        <w:rPr>
          <w:rFonts w:hint="eastAsia" w:ascii="仿宋_GB2312" w:hAnsi="宋体" w:eastAsia="仿宋_GB2312" w:cs="宋体"/>
          <w:color w:val="auto"/>
          <w:kern w:val="0"/>
          <w:sz w:val="32"/>
          <w:szCs w:val="32"/>
          <w:highlight w:val="none"/>
        </w:rPr>
        <w:t>推进铁路沿线安全环境整治。</w:t>
      </w:r>
      <w:r>
        <w:rPr>
          <w:rFonts w:hint="eastAsia" w:ascii="仿宋_GB2312" w:hAnsi="宋体" w:eastAsia="仿宋_GB2312" w:cs="宋体"/>
          <w:color w:val="auto"/>
          <w:kern w:val="0"/>
          <w:sz w:val="32"/>
          <w:szCs w:val="32"/>
          <w:highlight w:val="none"/>
          <w:lang w:eastAsia="zh-CN"/>
        </w:rPr>
        <w:t>牵头组织青竹湖街道等8个涉铁街道组织召开铁路沿线安全隐患大排查工作部署会，</w:t>
      </w:r>
      <w:r>
        <w:rPr>
          <w:rFonts w:hint="eastAsia" w:ascii="仿宋_GB2312" w:hAnsi="宋体" w:eastAsia="仿宋_GB2312" w:cs="宋体"/>
          <w:color w:val="auto"/>
          <w:kern w:val="0"/>
          <w:sz w:val="32"/>
          <w:szCs w:val="32"/>
          <w:highlight w:val="none"/>
          <w:lang w:val="en-US" w:eastAsia="zh-CN"/>
        </w:rPr>
        <w:t>并</w:t>
      </w:r>
      <w:r>
        <w:rPr>
          <w:rFonts w:hint="eastAsia" w:ascii="仿宋_GB2312" w:hAnsi="宋体" w:eastAsia="仿宋_GB2312" w:cs="宋体"/>
          <w:color w:val="auto"/>
          <w:kern w:val="0"/>
          <w:sz w:val="32"/>
          <w:szCs w:val="32"/>
          <w:highlight w:val="none"/>
        </w:rPr>
        <w:t>在6月份组织辖区基层</w:t>
      </w:r>
      <w:r>
        <w:rPr>
          <w:rFonts w:hint="eastAsia" w:ascii="仿宋_GB2312" w:hAnsi="宋体" w:eastAsia="仿宋_GB2312" w:cs="宋体"/>
          <w:color w:val="auto"/>
          <w:kern w:val="0"/>
          <w:sz w:val="32"/>
          <w:szCs w:val="32"/>
          <w:highlight w:val="none"/>
          <w:lang w:val="en-US" w:eastAsia="zh-CN"/>
        </w:rPr>
        <w:t>26名</w:t>
      </w:r>
      <w:r>
        <w:rPr>
          <w:rFonts w:hint="eastAsia" w:ascii="仿宋_GB2312" w:hAnsi="宋体" w:eastAsia="仿宋_GB2312" w:cs="宋体"/>
          <w:color w:val="auto"/>
          <w:kern w:val="0"/>
          <w:sz w:val="32"/>
          <w:szCs w:val="32"/>
          <w:highlight w:val="none"/>
        </w:rPr>
        <w:t>三级段长</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开展</w:t>
      </w:r>
      <w:r>
        <w:rPr>
          <w:rFonts w:hint="eastAsia" w:ascii="仿宋_GB2312" w:hAnsi="宋体" w:eastAsia="仿宋_GB2312" w:cs="宋体"/>
          <w:color w:val="auto"/>
          <w:kern w:val="0"/>
          <w:sz w:val="32"/>
          <w:szCs w:val="32"/>
          <w:highlight w:val="none"/>
          <w:lang w:eastAsia="zh-CN"/>
        </w:rPr>
        <w:t>“加强路地协调联动，深化铁路安全环境整治”专题</w:t>
      </w:r>
      <w:r>
        <w:rPr>
          <w:rFonts w:hint="eastAsia" w:ascii="仿宋_GB2312" w:hAnsi="宋体" w:eastAsia="仿宋_GB2312" w:cs="宋体"/>
          <w:color w:val="auto"/>
          <w:kern w:val="0"/>
          <w:sz w:val="32"/>
          <w:szCs w:val="32"/>
          <w:highlight w:val="none"/>
        </w:rPr>
        <w:t>培训</w:t>
      </w:r>
      <w:r>
        <w:rPr>
          <w:rFonts w:hint="eastAsia" w:ascii="仿宋_GB2312" w:hAnsi="宋体" w:eastAsia="仿宋_GB2312" w:cs="宋体"/>
          <w:color w:val="auto"/>
          <w:kern w:val="0"/>
          <w:sz w:val="32"/>
          <w:szCs w:val="32"/>
          <w:highlight w:val="none"/>
          <w:lang w:eastAsia="zh-CN"/>
        </w:rPr>
        <w:t>，要求各街道要全面排查铁路沿线各类安全隐患和风险，及时处置和反馈排查整治情况，确保我区铁路运输安全稳定。</w:t>
      </w:r>
      <w:r>
        <w:rPr>
          <w:rFonts w:hint="eastAsia" w:ascii="仿宋_GB2312" w:hAnsi="宋体" w:eastAsia="仿宋_GB2312" w:cs="宋体"/>
          <w:color w:val="auto"/>
          <w:kern w:val="0"/>
          <w:sz w:val="32"/>
          <w:szCs w:val="32"/>
          <w:highlight w:val="none"/>
          <w:lang w:val="en-US" w:eastAsia="zh-CN"/>
        </w:rPr>
        <w:t>2022年以来，涉铁街道共排查整治隐患109处，</w:t>
      </w:r>
      <w:r>
        <w:rPr>
          <w:rFonts w:hint="eastAsia" w:ascii="仿宋_GB2312" w:hAnsi="宋体" w:eastAsia="仿宋_GB2312" w:cs="宋体"/>
          <w:color w:val="auto"/>
          <w:kern w:val="0"/>
          <w:sz w:val="32"/>
          <w:szCs w:val="32"/>
          <w:highlight w:val="none"/>
        </w:rPr>
        <w:t>共投入整治资金</w:t>
      </w:r>
      <w:r>
        <w:rPr>
          <w:rFonts w:hint="eastAsia" w:ascii="仿宋_GB2312" w:hAnsi="宋体" w:eastAsia="仿宋_GB2312" w:cs="宋体"/>
          <w:color w:val="auto"/>
          <w:kern w:val="0"/>
          <w:sz w:val="32"/>
          <w:szCs w:val="32"/>
          <w:highlight w:val="none"/>
          <w:lang w:eastAsia="zh-CN"/>
        </w:rPr>
        <w:t>63</w:t>
      </w:r>
      <w:r>
        <w:rPr>
          <w:rFonts w:hint="eastAsia" w:ascii="仿宋_GB2312" w:hAnsi="宋体" w:eastAsia="仿宋_GB2312" w:cs="宋体"/>
          <w:color w:val="auto"/>
          <w:kern w:val="0"/>
          <w:sz w:val="32"/>
          <w:szCs w:val="32"/>
          <w:highlight w:val="none"/>
        </w:rPr>
        <w:t>万余元</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lang w:val="en-US" w:eastAsia="zh-CN"/>
        </w:rPr>
        <w:t>57处报湖南省铁路安全隐患综合治理指挥部处理。</w:t>
      </w:r>
    </w:p>
    <w:p>
      <w:pPr>
        <w:pStyle w:val="5"/>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2.进一步压实治超工作平台</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rPr>
        <w:t>一是</w:t>
      </w:r>
      <w:r>
        <w:rPr>
          <w:rFonts w:hint="eastAsia" w:ascii="仿宋_GB2312" w:hAnsi="宋体" w:eastAsia="仿宋_GB2312" w:cs="宋体"/>
          <w:color w:val="auto"/>
          <w:kern w:val="0"/>
          <w:sz w:val="32"/>
          <w:szCs w:val="32"/>
          <w:highlight w:val="none"/>
        </w:rPr>
        <w:t>加强与各源头单位的对接，建立源头企业工作群，</w:t>
      </w:r>
      <w:r>
        <w:rPr>
          <w:rFonts w:hint="eastAsia" w:ascii="仿宋_GB2312" w:hAnsi="仿宋_GB2312" w:eastAsia="仿宋_GB2312" w:cs="仿宋_GB2312"/>
          <w:color w:val="auto"/>
          <w:sz w:val="32"/>
          <w:szCs w:val="32"/>
          <w:highlight w:val="none"/>
        </w:rPr>
        <w:t>将更多数据接入市、区治超信息管理平台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二是</w:t>
      </w:r>
      <w:r>
        <w:rPr>
          <w:rFonts w:hint="eastAsia" w:ascii="仿宋_GB2312" w:hAnsi="仿宋_GB2312" w:eastAsia="仿宋_GB2312" w:cs="仿宋_GB2312"/>
          <w:color w:val="auto"/>
          <w:sz w:val="32"/>
          <w:szCs w:val="32"/>
          <w:highlight w:val="none"/>
          <w:lang w:val="en-US" w:eastAsia="zh-CN"/>
        </w:rPr>
        <w:t>扎实</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eastAsia="zh-CN"/>
        </w:rPr>
        <w:t>道路运输违法行为联合执法行动</w:t>
      </w:r>
      <w:r>
        <w:rPr>
          <w:rFonts w:hint="eastAsia" w:ascii="仿宋_GB2312" w:hAnsi="宋体" w:eastAsia="仿宋_GB2312" w:cs="宋体"/>
          <w:color w:val="auto"/>
          <w:kern w:val="0"/>
          <w:sz w:val="32"/>
          <w:szCs w:val="32"/>
          <w:highlight w:val="none"/>
          <w:lang w:val="en-US" w:eastAsia="zh-CN"/>
        </w:rPr>
        <w:t>。制定《开福区道路运输行业联合执法行动方案》，牵头对存在较大安全隐患企业，开展联合执法行动。2022年以来，共</w:t>
      </w:r>
      <w:r>
        <w:rPr>
          <w:rFonts w:hint="eastAsia" w:ascii="仿宋_GB2312" w:hAnsi="宋体" w:eastAsia="仿宋_GB2312" w:cs="宋体"/>
          <w:color w:val="auto"/>
          <w:kern w:val="0"/>
          <w:sz w:val="32"/>
          <w:szCs w:val="32"/>
          <w:highlight w:val="none"/>
          <w:lang w:eastAsia="zh-CN"/>
        </w:rPr>
        <w:t>联合其他部门开展各类联合执法</w:t>
      </w:r>
      <w:r>
        <w:rPr>
          <w:rFonts w:hint="eastAsia" w:ascii="仿宋_GB2312" w:hAnsi="宋体" w:eastAsia="仿宋_GB2312" w:cs="宋体"/>
          <w:color w:val="auto"/>
          <w:kern w:val="0"/>
          <w:sz w:val="32"/>
          <w:szCs w:val="32"/>
          <w:highlight w:val="none"/>
          <w:lang w:val="en-US" w:eastAsia="zh-CN"/>
        </w:rPr>
        <w:t>82次，</w:t>
      </w:r>
      <w:r>
        <w:rPr>
          <w:rFonts w:hint="eastAsia" w:ascii="仿宋_GB2312" w:hAnsi="宋体" w:eastAsia="仿宋_GB2312" w:cs="宋体"/>
          <w:color w:val="auto"/>
          <w:kern w:val="0"/>
          <w:sz w:val="32"/>
          <w:szCs w:val="32"/>
          <w:highlight w:val="none"/>
          <w:lang w:eastAsia="zh-CN"/>
        </w:rPr>
        <w:t>对</w:t>
      </w:r>
      <w:r>
        <w:rPr>
          <w:rFonts w:hint="eastAsia" w:ascii="仿宋_GB2312" w:hAnsi="宋体" w:eastAsia="仿宋_GB2312" w:cs="宋体"/>
          <w:color w:val="auto"/>
          <w:kern w:val="0"/>
          <w:sz w:val="32"/>
          <w:szCs w:val="32"/>
          <w:highlight w:val="none"/>
          <w:lang w:val="en-US" w:eastAsia="zh-CN"/>
        </w:rPr>
        <w:t>100</w:t>
      </w:r>
      <w:r>
        <w:rPr>
          <w:rFonts w:hint="eastAsia" w:ascii="仿宋_GB2312" w:hAnsi="宋体" w:eastAsia="仿宋_GB2312" w:cs="宋体"/>
          <w:color w:val="auto"/>
          <w:kern w:val="0"/>
          <w:sz w:val="32"/>
          <w:szCs w:val="32"/>
          <w:highlight w:val="none"/>
          <w:lang w:eastAsia="zh-CN"/>
        </w:rPr>
        <w:t>家运输企业（个人）开展约谈，通过常态化联合执法和警示约谈，</w:t>
      </w:r>
      <w:r>
        <w:rPr>
          <w:rFonts w:hint="default" w:ascii="仿宋_GB2312" w:hAnsi="宋体" w:eastAsia="仿宋_GB2312" w:cs="宋体"/>
          <w:color w:val="auto"/>
          <w:kern w:val="0"/>
          <w:sz w:val="32"/>
          <w:szCs w:val="32"/>
          <w:highlight w:val="none"/>
          <w:lang w:val="en" w:eastAsia="zh-CN"/>
        </w:rPr>
        <w:t>进一步压实企业安全生产主体责任</w:t>
      </w:r>
      <w:r>
        <w:rPr>
          <w:rFonts w:hint="eastAsia" w:ascii="仿宋_GB2312" w:hAnsi="宋体" w:eastAsia="仿宋_GB2312" w:cs="宋体"/>
          <w:color w:val="auto"/>
          <w:kern w:val="0"/>
          <w:sz w:val="32"/>
          <w:szCs w:val="32"/>
          <w:highlight w:val="none"/>
          <w:lang w:eastAsia="zh-CN"/>
        </w:rPr>
        <w:t>，减少安全事故发生。</w:t>
      </w:r>
      <w:r>
        <w:rPr>
          <w:rFonts w:hint="eastAsia" w:ascii="仿宋_GB2312" w:hAnsi="宋体" w:eastAsia="仿宋_GB2312" w:cs="宋体"/>
          <w:color w:val="auto"/>
          <w:kern w:val="0"/>
          <w:sz w:val="32"/>
          <w:szCs w:val="32"/>
          <w:highlight w:val="none"/>
          <w:lang w:val="en-US" w:eastAsia="zh-CN"/>
        </w:rPr>
        <w:t>三是</w:t>
      </w:r>
      <w:r>
        <w:rPr>
          <w:rFonts w:hint="eastAsia" w:ascii="仿宋_GB2312" w:hAnsi="宋体" w:eastAsia="仿宋_GB2312" w:cs="宋体"/>
          <w:color w:val="auto"/>
          <w:kern w:val="0"/>
          <w:sz w:val="32"/>
          <w:szCs w:val="32"/>
          <w:highlight w:val="none"/>
          <w:lang w:eastAsia="zh-CN"/>
        </w:rPr>
        <w:t>抓好“两客一危”企业安全监管。</w:t>
      </w:r>
      <w:r>
        <w:rPr>
          <w:rFonts w:hint="eastAsia" w:ascii="仿宋_GB2312" w:hAnsi="宋体" w:eastAsia="仿宋_GB2312" w:cs="宋体"/>
          <w:color w:val="auto"/>
          <w:kern w:val="0"/>
          <w:sz w:val="32"/>
          <w:szCs w:val="32"/>
          <w:highlight w:val="none"/>
          <w:lang w:val="en-US" w:eastAsia="zh-CN"/>
        </w:rPr>
        <w:t>深刻吸取望城区“4·29”特别重大居民自建房倒塌事故教训，</w:t>
      </w:r>
      <w:r>
        <w:rPr>
          <w:rFonts w:hint="eastAsia" w:ascii="仿宋_GB2312" w:hAnsi="宋体" w:eastAsia="仿宋_GB2312" w:cs="宋体"/>
          <w:color w:val="auto"/>
          <w:kern w:val="0"/>
          <w:sz w:val="32"/>
          <w:szCs w:val="32"/>
          <w:highlight w:val="none"/>
        </w:rPr>
        <w:t>针对我区“两客一危”企业较多实际，我局与区交警大队建立常态化联合检查机制，通过日常联合检查，增进部门间沟通交流，形成安全监管检查合力，提升“两客一危”企业安全生产管理水平，共同守住重点运输企业不发生事故底线。</w:t>
      </w:r>
      <w:r>
        <w:rPr>
          <w:rFonts w:hint="eastAsia" w:ascii="仿宋_GB2312" w:hAnsi="仿宋_GB2312" w:eastAsia="仿宋_GB2312" w:cs="仿宋_GB2312"/>
          <w:color w:val="auto"/>
          <w:kern w:val="2"/>
          <w:sz w:val="32"/>
          <w:szCs w:val="32"/>
          <w:highlight w:val="none"/>
          <w:lang w:val="en-US" w:eastAsia="zh-CN" w:bidi="ar-SA"/>
        </w:rPr>
        <w:t>四是加快建设开福区道路运输智慧监管平台。利用大数据监管手段，掌握企业经营资质、经营范围、从业人员、车辆情况、日常安全管理等信息，推进安全监管职能化建设，有效提升对行业企业安全生产监管的效率，培养企业安全管理习惯，降低企业生产安全事故发生率。</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after="0" w:line="560" w:lineRule="exact"/>
        <w:ind w:left="0" w:leftChars="0" w:firstLine="643" w:firstLineChars="200"/>
        <w:textAlignment w:val="auto"/>
        <w:rPr>
          <w:rFonts w:hint="default" w:ascii="仿宋_GB2312" w:hAnsi="宋体" w:eastAsia="仿宋_GB2312" w:cs="宋体"/>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3.深化干部联点企业。</w:t>
      </w:r>
      <w:r>
        <w:rPr>
          <w:rFonts w:hint="eastAsia" w:ascii="仿宋_GB2312" w:hAnsi="宋体" w:eastAsia="仿宋_GB2312" w:cs="宋体"/>
          <w:color w:val="auto"/>
          <w:kern w:val="0"/>
          <w:sz w:val="32"/>
          <w:szCs w:val="32"/>
          <w:highlight w:val="none"/>
          <w:lang w:val="en-US" w:eastAsia="zh-CN"/>
        </w:rPr>
        <w:t>一是督促企业全面夯实安全生产主体责任。通过检查督导，落实企业“一会三卡”、企业负责人“十个一次”、全员安全生产责任制和安全风险分级管控及隐患排查双重预防机制，全面落实运输企业购买安责险责任。二是全面落实行业安全检查责任</w:t>
      </w:r>
      <w:r>
        <w:rPr>
          <w:rFonts w:hint="eastAsia" w:ascii="仿宋_GB2312" w:hAnsi="宋体" w:eastAsia="仿宋_GB2312" w:cs="宋体"/>
          <w:color w:val="auto"/>
          <w:kern w:val="0"/>
          <w:sz w:val="32"/>
          <w:szCs w:val="32"/>
          <w:highlight w:val="none"/>
          <w:lang w:val="en" w:eastAsia="zh-CN"/>
        </w:rPr>
        <w:t>。</w:t>
      </w:r>
      <w:r>
        <w:rPr>
          <w:rFonts w:hint="eastAsia" w:ascii="仿宋_GB2312" w:hAnsi="宋体" w:eastAsia="仿宋_GB2312" w:cs="宋体"/>
          <w:color w:val="auto"/>
          <w:kern w:val="0"/>
          <w:sz w:val="32"/>
          <w:szCs w:val="32"/>
          <w:highlight w:val="none"/>
          <w:lang w:val="en-US" w:eastAsia="zh-CN"/>
        </w:rPr>
        <w:t>先后</w:t>
      </w:r>
      <w:r>
        <w:rPr>
          <w:rFonts w:hint="default" w:ascii="仿宋_GB2312" w:hAnsi="宋体" w:eastAsia="仿宋_GB2312" w:cs="宋体"/>
          <w:color w:val="auto"/>
          <w:kern w:val="0"/>
          <w:sz w:val="32"/>
          <w:szCs w:val="32"/>
          <w:highlight w:val="none"/>
          <w:lang w:val="en" w:eastAsia="zh-CN"/>
        </w:rPr>
        <w:t>制定《2022年安全生产检查（事中事后监管）工作计划》《交通运输安全生产大检查“百日攻坚”行动实施方案》等</w:t>
      </w:r>
      <w:r>
        <w:rPr>
          <w:rFonts w:hint="eastAsia" w:ascii="仿宋_GB2312" w:hAnsi="宋体" w:eastAsia="仿宋_GB2312" w:cs="宋体"/>
          <w:color w:val="auto"/>
          <w:kern w:val="0"/>
          <w:sz w:val="32"/>
          <w:szCs w:val="32"/>
          <w:highlight w:val="none"/>
          <w:lang w:val="en-US" w:eastAsia="zh-CN"/>
        </w:rPr>
        <w:t>文件</w:t>
      </w:r>
      <w:r>
        <w:rPr>
          <w:rFonts w:hint="eastAsia" w:ascii="仿宋_GB2312" w:hAnsi="宋体" w:eastAsia="仿宋_GB2312" w:cs="宋体"/>
          <w:color w:val="auto"/>
          <w:kern w:val="0"/>
          <w:sz w:val="32"/>
          <w:szCs w:val="32"/>
          <w:highlight w:val="none"/>
          <w:lang w:val="en" w:eastAsia="zh-CN"/>
        </w:rPr>
        <w:t>。</w:t>
      </w:r>
      <w:r>
        <w:rPr>
          <w:rFonts w:hint="eastAsia" w:ascii="仿宋_GB2312" w:hAnsi="宋体" w:eastAsia="仿宋_GB2312" w:cs="宋体"/>
          <w:color w:val="auto"/>
          <w:kern w:val="0"/>
          <w:sz w:val="32"/>
          <w:szCs w:val="32"/>
          <w:highlight w:val="none"/>
          <w:lang w:val="en-US" w:eastAsia="zh-CN"/>
        </w:rPr>
        <w:t>2022年以来，共开展各类检查1200余次，排查整改隐患510处，切实提升行业安全生产本质水平。三是</w:t>
      </w:r>
      <w:r>
        <w:rPr>
          <w:rFonts w:hint="eastAsia" w:ascii="仿宋_GB2312" w:hAnsi="宋体" w:eastAsia="仿宋_GB2312" w:cs="宋体"/>
          <w:color w:val="auto"/>
          <w:kern w:val="0"/>
          <w:sz w:val="32"/>
          <w:szCs w:val="32"/>
          <w:highlight w:val="none"/>
          <w:lang w:val="en" w:eastAsia="zh-CN"/>
        </w:rPr>
        <w:t>强化行业领域安全生产检查督导。严格落实安全生产“三个必须”和领导干部带队检查工作制度，以交通运输安全生产专业委员会为依托，完善交通运输行业统筹协调机制。</w:t>
      </w:r>
      <w:r>
        <w:rPr>
          <w:rFonts w:hint="default" w:ascii="仿宋_GB2312" w:hAnsi="宋体" w:eastAsia="仿宋_GB2312" w:cs="宋体"/>
          <w:color w:val="auto"/>
          <w:kern w:val="0"/>
          <w:sz w:val="32"/>
          <w:szCs w:val="32"/>
          <w:highlight w:val="none"/>
          <w:lang w:val="en" w:eastAsia="zh-CN"/>
        </w:rPr>
        <w:t>区级层面组织召开会议</w:t>
      </w:r>
      <w:r>
        <w:rPr>
          <w:rFonts w:hint="eastAsia" w:ascii="仿宋_GB2312" w:hAnsi="宋体" w:eastAsia="仿宋_GB2312" w:cs="宋体"/>
          <w:color w:val="auto"/>
          <w:kern w:val="0"/>
          <w:sz w:val="32"/>
          <w:szCs w:val="32"/>
          <w:highlight w:val="none"/>
          <w:lang w:val="en-US" w:eastAsia="zh-CN"/>
        </w:rPr>
        <w:t>9</w:t>
      </w:r>
      <w:r>
        <w:rPr>
          <w:rFonts w:hint="default" w:ascii="仿宋_GB2312" w:hAnsi="宋体" w:eastAsia="仿宋_GB2312" w:cs="宋体"/>
          <w:color w:val="auto"/>
          <w:kern w:val="0"/>
          <w:sz w:val="32"/>
          <w:szCs w:val="32"/>
          <w:highlight w:val="none"/>
          <w:lang w:val="en" w:eastAsia="zh-CN"/>
        </w:rPr>
        <w:t>次，组织召开全区交通运输行业安全生产工作会议，相继出台制定</w:t>
      </w:r>
      <w:r>
        <w:rPr>
          <w:rFonts w:hint="default" w:ascii="仿宋_GB2312" w:hAnsi="宋体" w:eastAsia="仿宋_GB2312" w:cs="宋体"/>
          <w:color w:val="auto"/>
          <w:kern w:val="0"/>
          <w:sz w:val="32"/>
          <w:szCs w:val="32"/>
          <w:highlight w:val="none"/>
          <w:lang w:val="en"/>
        </w:rPr>
        <w:t>《关于建立道路运输安全生产长效机制的意见》《开福区道路运输行业联合执法行动方案》</w:t>
      </w:r>
      <w:r>
        <w:rPr>
          <w:rFonts w:hint="default" w:ascii="仿宋_GB2312" w:hAnsi="宋体" w:eastAsia="仿宋_GB2312" w:cs="宋体"/>
          <w:color w:val="auto"/>
          <w:kern w:val="0"/>
          <w:sz w:val="32"/>
          <w:szCs w:val="32"/>
          <w:highlight w:val="none"/>
          <w:lang w:val="en" w:eastAsia="zh-CN"/>
        </w:rPr>
        <w:t>《开福区交通运输行业安全形势研判报告白皮书》</w:t>
      </w:r>
      <w:r>
        <w:rPr>
          <w:rFonts w:hint="default" w:ascii="仿宋_GB2312" w:hAnsi="宋体" w:eastAsia="仿宋_GB2312" w:cs="宋体"/>
          <w:color w:val="auto"/>
          <w:kern w:val="0"/>
          <w:sz w:val="32"/>
          <w:szCs w:val="32"/>
          <w:highlight w:val="none"/>
          <w:lang w:val="en"/>
        </w:rPr>
        <w:t>等</w:t>
      </w:r>
      <w:r>
        <w:rPr>
          <w:rFonts w:hint="default" w:ascii="仿宋_GB2312" w:hAnsi="宋体" w:eastAsia="仿宋_GB2312" w:cs="宋体"/>
          <w:color w:val="auto"/>
          <w:kern w:val="0"/>
          <w:sz w:val="32"/>
          <w:szCs w:val="32"/>
          <w:highlight w:val="none"/>
          <w:lang w:val="en" w:eastAsia="zh-CN"/>
        </w:rPr>
        <w:t>文件，</w:t>
      </w:r>
      <w:r>
        <w:rPr>
          <w:rFonts w:hint="default" w:ascii="仿宋_GB2312" w:hAnsi="宋体" w:eastAsia="仿宋_GB2312" w:cs="宋体"/>
          <w:color w:val="auto"/>
          <w:kern w:val="0"/>
          <w:sz w:val="32"/>
          <w:szCs w:val="32"/>
          <w:highlight w:val="none"/>
          <w:lang w:val="en"/>
        </w:rPr>
        <w:t>建立健全联合检查、联合执法、数据共享、纾困解难等工作机制</w:t>
      </w:r>
      <w:r>
        <w:rPr>
          <w:rFonts w:hint="eastAsia" w:ascii="仿宋_GB2312" w:hAnsi="宋体" w:eastAsia="仿宋_GB2312" w:cs="宋体"/>
          <w:color w:val="auto"/>
          <w:kern w:val="0"/>
          <w:sz w:val="32"/>
          <w:szCs w:val="32"/>
          <w:highlight w:val="none"/>
          <w:lang w:val="en" w:eastAsia="zh-CN"/>
        </w:rPr>
        <w:t>。</w:t>
      </w:r>
      <w:r>
        <w:rPr>
          <w:rFonts w:hint="eastAsia" w:ascii="仿宋_GB2312" w:hAnsi="宋体" w:eastAsia="仿宋_GB2312" w:cs="宋体"/>
          <w:color w:val="auto"/>
          <w:kern w:val="0"/>
          <w:sz w:val="32"/>
          <w:szCs w:val="32"/>
          <w:highlight w:val="none"/>
          <w:lang w:val="en-US" w:eastAsia="zh-CN"/>
        </w:rPr>
        <w:t>四是全力帮扶重点企业。积极为有资金周转困难，有融资需求的湖南弘贡工程机械租赁、长沙运德物流等运输企业提供融资申请。同时，切实提高道路运输证的网上年审，全国异地年审的比率</w:t>
      </w:r>
      <w:r>
        <w:rPr>
          <w:rFonts w:hint="eastAsia" w:ascii="仿宋_GB2312" w:hAnsi="仿宋_GB2312" w:eastAsia="仿宋_GB2312" w:cs="仿宋_GB2312"/>
          <w:color w:val="auto"/>
          <w:sz w:val="32"/>
          <w:szCs w:val="32"/>
          <w:highlight w:val="none"/>
          <w:lang w:val="en-US" w:eastAsia="zh-CN"/>
        </w:rPr>
        <w:t>。让群众足不出户，在家就能办理道路运输证的年审。</w:t>
      </w:r>
    </w:p>
    <w:p>
      <w:pPr>
        <w:pStyle w:val="14"/>
        <w:spacing w:line="600" w:lineRule="exact"/>
        <w:ind w:firstLine="640"/>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pPr>
      <w:r>
        <w:rPr>
          <w:rFonts w:hint="eastAsia" w:cs="Times New Roman"/>
          <w:color w:val="000000" w:themeColor="text1"/>
          <w:kern w:val="2"/>
          <w:sz w:val="32"/>
          <w:szCs w:val="32"/>
          <w:lang w:val="en-US" w:eastAsia="zh-CN" w:bidi="ar-SA"/>
          <w14:textFill>
            <w14:solidFill>
              <w14:schemeClr w14:val="tx1"/>
            </w14:solidFill>
          </w14:textFill>
        </w:rPr>
        <w:t>一是</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部门年初预算数与决算数差异较大。2022年初预算数为2256.15万元，决算数为6495.16万元，年初预算数与年终决算数相差4239.01万元。产生差异的主要原因是年初预算是仅根据单位本级预算内容编制，重点保障人员经费及基本运转，而决算是当年实际支出，包含预算追加及上级各部门的专项拨款支出，因此与年初预算数有较大差异。</w:t>
      </w:r>
    </w:p>
    <w:p>
      <w:pPr>
        <w:spacing w:line="600" w:lineRule="exact"/>
        <w:ind w:firstLine="560" w:firstLineChars="200"/>
        <w:rPr>
          <w:rFonts w:hint="default"/>
          <w:lang w:val="en-US" w:eastAsia="zh-CN"/>
        </w:rPr>
      </w:pPr>
      <w:r>
        <w:rPr>
          <w:rFonts w:hint="eastAsia"/>
          <w:lang w:val="en-US" w:eastAsia="zh-CN"/>
        </w:rPr>
        <w:t>二是</w:t>
      </w:r>
      <w:r>
        <w:rPr>
          <w:rFonts w:hint="eastAsia"/>
          <w:sz w:val="32"/>
          <w:szCs w:val="32"/>
          <w:lang w:val="en-US" w:eastAsia="zh-CN"/>
        </w:rPr>
        <w:t>根据上级通知要求，部门相关工作出现较大调整，对应专项资金经费绩效目标未进行同步调整。</w:t>
      </w:r>
    </w:p>
    <w:p>
      <w:pPr>
        <w:numPr>
          <w:ilvl w:val="0"/>
          <w:numId w:val="5"/>
        </w:numPr>
        <w:spacing w:line="600" w:lineRule="exact"/>
        <w:ind w:firstLine="640" w:firstLineChars="200"/>
        <w:rPr>
          <w:rFonts w:eastAsia="黑体"/>
          <w:sz w:val="32"/>
          <w:szCs w:val="32"/>
        </w:rPr>
      </w:pPr>
      <w:r>
        <w:rPr>
          <w:rFonts w:eastAsia="黑体"/>
          <w:sz w:val="32"/>
          <w:szCs w:val="32"/>
        </w:rPr>
        <w:t>下一步改进措施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cs="Times New Roman"/>
          <w:color w:val="000000" w:themeColor="text1"/>
          <w:kern w:val="2"/>
          <w:sz w:val="32"/>
          <w:szCs w:val="32"/>
          <w:lang w:val="en-US" w:eastAsia="zh-CN" w:bidi="ar-SA"/>
          <w14:textFill>
            <w14:solidFill>
              <w14:schemeClr w14:val="tx1"/>
            </w14:solidFill>
          </w14:textFill>
        </w:rPr>
        <w:t>一是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加强预算编制管理，夯实预算执行基础</w:t>
      </w:r>
      <w:r>
        <w:rPr>
          <w:rFonts w:hint="eastAsia"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首先，需要保证预算编制的真实性，即部门预算收支的测算要以履行部门职能需要为依据，通过会议讨论分析制定具有可实施性的预算方案；其次是注重预算编制的科学、完整性，量入为出、收支平衡、不偏不漏，综合预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cs="Times New Roman"/>
          <w:color w:val="000000" w:themeColor="text1"/>
          <w:kern w:val="2"/>
          <w:sz w:val="32"/>
          <w:szCs w:val="32"/>
          <w:lang w:val="en-US" w:eastAsia="zh-CN" w:bidi="ar-SA"/>
          <w14:textFill>
            <w14:solidFill>
              <w14:schemeClr w14:val="tx1"/>
            </w14:solidFill>
          </w14:textFill>
        </w:rPr>
        <w:t>二是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做好预算执行分析工作</w:t>
      </w:r>
      <w:r>
        <w:rPr>
          <w:rFonts w:hint="eastAsia"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牢牢把握预算执行分析工作的真实性、及时性和全面性，及时跟踪预算执行动态变化过程，重点研究预算执行过程中出现的各种问题，强化预算执行全过程的管理，提供详实准确的预算执行数据，并准确预测预算收支的发展趋势，进一步提高财政预算的管理和决策水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cs="Times New Roman"/>
          <w:color w:val="000000" w:themeColor="text1"/>
          <w:kern w:val="2"/>
          <w:sz w:val="32"/>
          <w:szCs w:val="32"/>
          <w:lang w:val="en-US" w:eastAsia="zh-CN" w:bidi="ar-SA"/>
          <w14:textFill>
            <w14:solidFill>
              <w14:schemeClr w14:val="tx1"/>
            </w14:solidFill>
          </w14:textFill>
        </w:rPr>
        <w:t>三是</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加强内部监督控制</w:t>
      </w:r>
      <w:r>
        <w:rPr>
          <w:rFonts w:hint="eastAsia"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内部监督控制机制的建立主要是指加强内部审计监督机构的设置和人员安排。在人员安排上面，一方面要调派熟悉单位自身发展和运作特点以及经费使用状况的财务管理人员担任内部审计监督职务，从而一方面进一步加强内部审计工作与单位自身发展的契合性，另一方面跟踪监督每一步的经费预算执行情况，及时反馈执行信息，及时调整预算执行内容，最大限度提升预算执行的实际效果。</w:t>
      </w:r>
    </w:p>
    <w:p>
      <w:pPr>
        <w:numPr>
          <w:ilvl w:val="0"/>
          <w:numId w:val="5"/>
        </w:numPr>
        <w:spacing w:line="600" w:lineRule="exact"/>
        <w:ind w:left="0" w:leftChars="0" w:firstLine="640" w:firstLineChars="200"/>
        <w:rPr>
          <w:rFonts w:eastAsia="黑体"/>
          <w:sz w:val="32"/>
          <w:szCs w:val="32"/>
        </w:rPr>
      </w:pPr>
      <w:r>
        <w:rPr>
          <w:rFonts w:eastAsia="黑体"/>
          <w:sz w:val="32"/>
          <w:szCs w:val="32"/>
        </w:rPr>
        <w:t>绩效自评结果拟应用和公开情况</w:t>
      </w:r>
    </w:p>
    <w:p>
      <w:pPr>
        <w:spacing w:line="560" w:lineRule="exact"/>
        <w:ind w:firstLine="640" w:firstLineChars="200"/>
      </w:pPr>
      <w:r>
        <w:rPr>
          <w:rFonts w:hint="eastAsia"/>
          <w:sz w:val="32"/>
          <w:szCs w:val="32"/>
        </w:rPr>
        <w:t>通过绩效自评，进一步掌握资金使用情况和取得的</w:t>
      </w:r>
      <w:r>
        <w:rPr>
          <w:rFonts w:hint="eastAsia"/>
          <w:sz w:val="32"/>
          <w:szCs w:val="32"/>
          <w:lang w:eastAsia="zh-CN"/>
        </w:rPr>
        <w:t>成</w:t>
      </w:r>
      <w:r>
        <w:rPr>
          <w:rFonts w:hint="eastAsia"/>
          <w:sz w:val="32"/>
          <w:szCs w:val="32"/>
        </w:rPr>
        <w:t>效，发现工作中存在的问题和不足，为今后加强资金使用管理、完善资金绩效管理、提高资金使用效益工作提供重要的参考依据</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仿宋_GB2312" w:cs="Times New Roman"/>
          <w:color w:val="auto"/>
          <w:spacing w:val="-2"/>
          <w:sz w:val="32"/>
          <w:szCs w:val="32"/>
          <w:lang w:val="en-US" w:eastAsia="zh-CN"/>
        </w:rPr>
        <w:t>根据财政相关要求</w:t>
      </w:r>
      <w:r>
        <w:rPr>
          <w:rFonts w:hint="eastAsia" w:ascii="Times New Roman" w:hAnsi="Times New Roman" w:cs="Times New Roman"/>
          <w:color w:val="auto"/>
          <w:spacing w:val="-2"/>
          <w:sz w:val="32"/>
          <w:szCs w:val="32"/>
          <w:lang w:val="en-US" w:eastAsia="zh-CN"/>
        </w:rPr>
        <w:t>将</w:t>
      </w:r>
      <w:r>
        <w:rPr>
          <w:rFonts w:hint="eastAsia" w:ascii="Times New Roman" w:hAnsi="Times New Roman" w:cs="Times New Roman"/>
          <w:sz w:val="32"/>
          <w:szCs w:val="32"/>
        </w:rPr>
        <w:t>此次绩效自评报告</w:t>
      </w:r>
      <w:r>
        <w:rPr>
          <w:rFonts w:hint="eastAsia" w:ascii="Times New Roman" w:hAnsi="Times New Roman" w:cs="Times New Roman"/>
          <w:sz w:val="32"/>
          <w:szCs w:val="32"/>
          <w:lang w:eastAsia="zh-CN"/>
        </w:rPr>
        <w:t>将在区政府</w:t>
      </w:r>
      <w:r>
        <w:rPr>
          <w:rFonts w:hint="eastAsia" w:ascii="Times New Roman" w:hAnsi="Times New Roman" w:cs="Times New Roman"/>
          <w:sz w:val="32"/>
          <w:szCs w:val="32"/>
        </w:rPr>
        <w:t>门户网站上予以公布，向社会公开，广泛接受群众监督。</w:t>
      </w:r>
    </w:p>
    <w:p>
      <w:pPr>
        <w:spacing w:line="600" w:lineRule="exact"/>
        <w:ind w:firstLine="640" w:firstLineChars="200"/>
        <w:rPr>
          <w:rFonts w:eastAsia="黑体"/>
          <w:sz w:val="32"/>
          <w:szCs w:val="32"/>
        </w:rPr>
      </w:pPr>
      <w:r>
        <w:rPr>
          <w:rFonts w:hint="eastAsia" w:eastAsia="黑体"/>
          <w:sz w:val="32"/>
          <w:szCs w:val="32"/>
          <w:lang w:val="en-US" w:eastAsia="zh-CN"/>
        </w:rPr>
        <w:t>十、无</w:t>
      </w:r>
      <w:r>
        <w:rPr>
          <w:rFonts w:eastAsia="黑体"/>
          <w:sz w:val="32"/>
          <w:szCs w:val="32"/>
        </w:rPr>
        <w:t>其他需要说明的情况</w:t>
      </w:r>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报告需要以下附件：</w:t>
      </w:r>
    </w:p>
    <w:p>
      <w:pPr>
        <w:spacing w:line="600" w:lineRule="exact"/>
        <w:ind w:firstLine="640" w:firstLineChars="200"/>
        <w:rPr>
          <w:rFonts w:eastAsia="仿宋_GB2312"/>
          <w:sz w:val="32"/>
          <w:szCs w:val="32"/>
        </w:rPr>
      </w:pPr>
      <w:r>
        <w:rPr>
          <w:rFonts w:eastAsia="仿宋_GB2312"/>
          <w:sz w:val="32"/>
          <w:szCs w:val="32"/>
        </w:rPr>
        <w:t>1、部门整体支出绩效评价基础数据表</w:t>
      </w:r>
      <w:r>
        <w:rPr>
          <w:rFonts w:hint="eastAsia" w:eastAsia="仿宋_GB2312"/>
          <w:sz w:val="32"/>
          <w:szCs w:val="32"/>
        </w:rPr>
        <w:t>（P</w:t>
      </w:r>
      <w:r>
        <w:rPr>
          <w:rFonts w:hint="eastAsia"/>
          <w:sz w:val="32"/>
          <w:szCs w:val="32"/>
          <w:lang w:val="en-US" w:eastAsia="zh-CN"/>
        </w:rPr>
        <w:t>8</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2、部门整体支出绩效自评表</w:t>
      </w:r>
      <w:r>
        <w:rPr>
          <w:rFonts w:hint="eastAsia" w:eastAsia="仿宋_GB2312"/>
          <w:sz w:val="32"/>
          <w:szCs w:val="32"/>
        </w:rPr>
        <w:t>（P</w:t>
      </w:r>
      <w:r>
        <w:rPr>
          <w:rFonts w:hint="eastAsia"/>
          <w:sz w:val="32"/>
          <w:szCs w:val="32"/>
          <w:lang w:val="en-US" w:eastAsia="zh-CN"/>
        </w:rPr>
        <w:t>9</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3、项目支出绩效自评表</w:t>
      </w:r>
      <w:r>
        <w:rPr>
          <w:rFonts w:hint="eastAsia" w:eastAsia="仿宋_GB2312"/>
          <w:sz w:val="32"/>
          <w:szCs w:val="32"/>
        </w:rPr>
        <w:t>（P</w:t>
      </w:r>
      <w:r>
        <w:rPr>
          <w:rFonts w:hint="eastAsia"/>
          <w:sz w:val="32"/>
          <w:szCs w:val="32"/>
          <w:lang w:val="en-US" w:eastAsia="zh-CN"/>
        </w:rPr>
        <w:t>10</w:t>
      </w:r>
      <w:r>
        <w:rPr>
          <w:rFonts w:hint="eastAsia" w:eastAsia="仿宋_GB2312"/>
          <w:sz w:val="32"/>
          <w:szCs w:val="32"/>
        </w:rPr>
        <w:t>）</w:t>
      </w:r>
      <w:r>
        <w:rPr>
          <w:rFonts w:eastAsia="仿宋_GB2312"/>
          <w:sz w:val="32"/>
          <w:szCs w:val="32"/>
        </w:rPr>
        <w:t>（每个一级项目支出一张表）</w:t>
      </w:r>
    </w:p>
    <w:p>
      <w:pPr>
        <w:spacing w:line="600" w:lineRule="exact"/>
        <w:ind w:firstLine="640" w:firstLineChars="200"/>
        <w:rPr>
          <w:rFonts w:eastAsia="仿宋_GB2312"/>
          <w:sz w:val="32"/>
          <w:szCs w:val="32"/>
        </w:rPr>
      </w:pPr>
      <w:r>
        <w:rPr>
          <w:rFonts w:eastAsia="仿宋_GB2312"/>
          <w:sz w:val="32"/>
          <w:szCs w:val="32"/>
        </w:rPr>
        <w:t>4、政府性基金预算支出情况表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sz w:val="32"/>
          <w:szCs w:val="32"/>
        </w:rPr>
      </w:pPr>
      <w:r>
        <w:rPr>
          <w:rFonts w:eastAsia="仿宋_GB2312"/>
          <w:sz w:val="32"/>
          <w:szCs w:val="32"/>
        </w:rPr>
        <w:t>5、国有资本经营预算支出情况表</w:t>
      </w:r>
      <w:r>
        <w:rPr>
          <w:rFonts w:hint="eastAsia" w:eastAsia="仿宋_GB2312"/>
          <w:sz w:val="32"/>
          <w:szCs w:val="32"/>
        </w:rPr>
        <w:t>（该表与当年部门预决算公开保持一致）</w:t>
      </w:r>
    </w:p>
    <w:p>
      <w:pPr>
        <w:spacing w:line="600" w:lineRule="exact"/>
        <w:ind w:firstLine="640" w:firstLineChars="200"/>
        <w:rPr>
          <w:rFonts w:eastAsia="仿宋_GB2312"/>
          <w:kern w:val="0"/>
          <w:sz w:val="32"/>
          <w:szCs w:val="32"/>
        </w:rPr>
      </w:pPr>
      <w:r>
        <w:rPr>
          <w:rFonts w:eastAsia="仿宋_GB2312"/>
          <w:sz w:val="32"/>
          <w:szCs w:val="32"/>
        </w:rPr>
        <w:t>6、社会保险基金预算支出情况表</w:t>
      </w:r>
      <w:r>
        <w:rPr>
          <w:rFonts w:hint="eastAsia" w:eastAsia="仿宋_GB2312"/>
          <w:sz w:val="32"/>
          <w:szCs w:val="32"/>
        </w:rPr>
        <w:t>（该表与当年部门预决算公开保持一致）</w:t>
      </w:r>
    </w:p>
    <w:p>
      <w:pPr>
        <w:widowControl/>
        <w:jc w:val="left"/>
        <w:rPr>
          <w:rFonts w:hint="eastAsia" w:eastAsia="黑体"/>
          <w:sz w:val="32"/>
          <w:szCs w:val="32"/>
          <w:lang w:eastAsia="zh-CN"/>
        </w:rPr>
      </w:pPr>
      <w:r>
        <w:rPr>
          <w:rFonts w:eastAsia="黑体"/>
          <w:sz w:val="32"/>
          <w:szCs w:val="32"/>
        </w:rPr>
        <w:br w:type="page"/>
      </w:r>
      <w:r>
        <w:rPr>
          <w:rFonts w:eastAsia="黑体"/>
          <w:sz w:val="32"/>
          <w:szCs w:val="32"/>
        </w:rPr>
        <w:t>附件</w:t>
      </w:r>
      <w:r>
        <w:rPr>
          <w:rFonts w:hint="eastAsia" w:eastAsia="黑体"/>
          <w:sz w:val="32"/>
          <w:szCs w:val="32"/>
          <w:lang w:val="en-US" w:eastAsia="zh-CN"/>
        </w:rPr>
        <w:t>2</w:t>
      </w:r>
    </w:p>
    <w:p>
      <w:pPr>
        <w:spacing w:line="560" w:lineRule="exact"/>
        <w:jc w:val="center"/>
        <w:outlineLvl w:val="0"/>
        <w:rPr>
          <w:rFonts w:eastAsia="方正小标宋_GBK"/>
          <w:kern w:val="0"/>
          <w:sz w:val="36"/>
          <w:szCs w:val="36"/>
        </w:rPr>
      </w:pPr>
      <w:r>
        <w:rPr>
          <w:rFonts w:hint="eastAsia" w:eastAsia="方正小标宋_GBK"/>
          <w:kern w:val="0"/>
          <w:sz w:val="36"/>
          <w:szCs w:val="36"/>
          <w:lang w:val="en-US" w:eastAsia="zh-CN"/>
        </w:rPr>
        <w:t>2022年度</w:t>
      </w:r>
      <w:r>
        <w:rPr>
          <w:rFonts w:eastAsia="方正小标宋_GBK"/>
          <w:kern w:val="0"/>
          <w:sz w:val="36"/>
          <w:szCs w:val="36"/>
        </w:rPr>
        <w:t>部门整体支出绩效评价基础数据表</w:t>
      </w:r>
    </w:p>
    <w:tbl>
      <w:tblPr>
        <w:tblStyle w:val="10"/>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7"/>
        <w:gridCol w:w="1041"/>
        <w:gridCol w:w="1375"/>
        <w:gridCol w:w="1017"/>
        <w:gridCol w:w="1033"/>
        <w:gridCol w:w="98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37" w:type="dxa"/>
            <w:vMerge w:val="restart"/>
            <w:noWrap w:val="0"/>
            <w:vAlign w:val="center"/>
          </w:tcPr>
          <w:p>
            <w:pPr>
              <w:widowControl/>
              <w:jc w:val="center"/>
              <w:rPr>
                <w:rFonts w:eastAsia="仿宋_GB2312"/>
                <w:kern w:val="0"/>
                <w:sz w:val="21"/>
                <w:szCs w:val="21"/>
              </w:rPr>
            </w:pPr>
            <w:r>
              <w:rPr>
                <w:rFonts w:eastAsia="仿宋_GB2312"/>
                <w:kern w:val="0"/>
                <w:sz w:val="21"/>
                <w:szCs w:val="21"/>
              </w:rPr>
              <w:t>财政供养人员情况</w:t>
            </w:r>
          </w:p>
        </w:tc>
        <w:tc>
          <w:tcPr>
            <w:tcW w:w="241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编制数</w:t>
            </w:r>
          </w:p>
        </w:tc>
        <w:tc>
          <w:tcPr>
            <w:tcW w:w="2050"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年实际在职人数</w:t>
            </w:r>
          </w:p>
        </w:tc>
        <w:tc>
          <w:tcPr>
            <w:tcW w:w="1861"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控制率</w:t>
            </w:r>
            <w:r>
              <w:rPr>
                <w:rFonts w:hint="eastAsia" w:eastAsia="仿宋_GB2312"/>
                <w:b/>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37" w:type="dxa"/>
            <w:vMerge w:val="continue"/>
            <w:noWrap w:val="0"/>
            <w:vAlign w:val="center"/>
          </w:tcPr>
          <w:p>
            <w:pPr>
              <w:widowControl/>
              <w:jc w:val="left"/>
              <w:rPr>
                <w:rFonts w:eastAsia="仿宋_GB2312"/>
                <w:kern w:val="0"/>
                <w:sz w:val="21"/>
                <w:szCs w:val="21"/>
              </w:rPr>
            </w:pPr>
          </w:p>
        </w:tc>
        <w:tc>
          <w:tcPr>
            <w:tcW w:w="2416"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29</w:t>
            </w:r>
          </w:p>
        </w:tc>
        <w:tc>
          <w:tcPr>
            <w:tcW w:w="2050" w:type="dxa"/>
            <w:gridSpan w:val="2"/>
            <w:noWrap w:val="0"/>
            <w:vAlign w:val="center"/>
          </w:tcPr>
          <w:p>
            <w:pPr>
              <w:widowControl/>
              <w:jc w:val="center"/>
              <w:rPr>
                <w:rFonts w:eastAsia="仿宋_GB2312"/>
                <w:kern w:val="0"/>
                <w:sz w:val="21"/>
                <w:szCs w:val="21"/>
              </w:rPr>
            </w:pPr>
            <w:r>
              <w:rPr>
                <w:rFonts w:hint="eastAsia"/>
                <w:kern w:val="0"/>
                <w:sz w:val="21"/>
                <w:szCs w:val="21"/>
                <w:lang w:val="en-US" w:eastAsia="zh-CN"/>
              </w:rPr>
              <w:t>29</w:t>
            </w:r>
          </w:p>
        </w:tc>
        <w:tc>
          <w:tcPr>
            <w:tcW w:w="1861" w:type="dxa"/>
            <w:gridSpan w:val="2"/>
            <w:noWrap w:val="0"/>
            <w:vAlign w:val="center"/>
          </w:tcPr>
          <w:p>
            <w:pPr>
              <w:widowControl/>
              <w:wordWrap w:val="0"/>
              <w:jc w:val="center"/>
              <w:rPr>
                <w:rFonts w:hint="default" w:eastAsia="仿宋_GB2312"/>
                <w:kern w:val="0"/>
                <w:sz w:val="21"/>
                <w:szCs w:val="21"/>
                <w:lang w:val="en-US" w:eastAsia="zh-CN"/>
              </w:rPr>
            </w:pPr>
            <w:r>
              <w:rPr>
                <w:rFonts w:hint="eastAsia"/>
                <w:kern w:val="0"/>
                <w:sz w:val="21"/>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3137" w:type="dxa"/>
            <w:noWrap w:val="0"/>
            <w:vAlign w:val="center"/>
          </w:tcPr>
          <w:p>
            <w:pPr>
              <w:widowControl/>
              <w:jc w:val="center"/>
              <w:rPr>
                <w:rFonts w:eastAsia="仿宋_GB2312"/>
                <w:kern w:val="0"/>
                <w:sz w:val="21"/>
                <w:szCs w:val="21"/>
              </w:rPr>
            </w:pPr>
            <w:r>
              <w:rPr>
                <w:rFonts w:eastAsia="仿宋_GB2312"/>
                <w:kern w:val="0"/>
                <w:sz w:val="21"/>
                <w:szCs w:val="21"/>
              </w:rPr>
              <w:t>经费控制情况</w:t>
            </w:r>
          </w:p>
        </w:tc>
        <w:tc>
          <w:tcPr>
            <w:tcW w:w="2416"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1</w:t>
            </w:r>
            <w:r>
              <w:rPr>
                <w:rFonts w:eastAsia="仿宋_GB2312"/>
                <w:b/>
                <w:bCs/>
                <w:kern w:val="0"/>
                <w:sz w:val="21"/>
                <w:szCs w:val="21"/>
              </w:rPr>
              <w:t>年决算数</w:t>
            </w:r>
          </w:p>
        </w:tc>
        <w:tc>
          <w:tcPr>
            <w:tcW w:w="2050"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年预算数</w:t>
            </w:r>
          </w:p>
        </w:tc>
        <w:tc>
          <w:tcPr>
            <w:tcW w:w="1861" w:type="dxa"/>
            <w:gridSpan w:val="2"/>
            <w:noWrap w:val="0"/>
            <w:vAlign w:val="center"/>
          </w:tcPr>
          <w:p>
            <w:pPr>
              <w:widowControl/>
              <w:jc w:val="center"/>
              <w:rPr>
                <w:rFonts w:eastAsia="仿宋_GB2312"/>
                <w:b/>
                <w:bCs/>
                <w:kern w:val="0"/>
                <w:sz w:val="21"/>
                <w:szCs w:val="21"/>
              </w:rPr>
            </w:pPr>
            <w:r>
              <w:rPr>
                <w:rFonts w:eastAsia="仿宋_GB2312"/>
                <w:b/>
                <w:bCs/>
                <w:kern w:val="0"/>
                <w:sz w:val="21"/>
                <w:szCs w:val="21"/>
              </w:rPr>
              <w:t>20</w:t>
            </w:r>
            <w:r>
              <w:rPr>
                <w:rFonts w:hint="eastAsia" w:eastAsia="仿宋_GB2312"/>
                <w:b/>
                <w:bCs/>
                <w:kern w:val="0"/>
                <w:sz w:val="21"/>
                <w:szCs w:val="21"/>
              </w:rPr>
              <w:t>2</w:t>
            </w:r>
            <w:r>
              <w:rPr>
                <w:rFonts w:hint="eastAsia"/>
                <w:b/>
                <w:bCs/>
                <w:kern w:val="0"/>
                <w:sz w:val="21"/>
                <w:szCs w:val="21"/>
                <w:lang w:val="en-US" w:eastAsia="zh-CN"/>
              </w:rPr>
              <w:t>2</w:t>
            </w:r>
            <w:r>
              <w:rPr>
                <w:rFonts w:eastAsia="仿宋_GB2312"/>
                <w:b/>
                <w:bCs/>
                <w:kern w:val="0"/>
                <w:sz w:val="21"/>
                <w:szCs w:val="21"/>
              </w:rPr>
              <w:t>年决算数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三公经费</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1.32</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3.90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2.98</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1、公务用车购置和维护经费</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1.32</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3.40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2.98</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其中：公车购置</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公车运行维护</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1.32</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3.40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2.98</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2、出国经费</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3、公务接待</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val="en-US" w:eastAsia="zh-CN"/>
              </w:rPr>
              <w:t>0</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0.50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项目支出：</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3,118.22</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rPr>
              <w:t>210.5</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5</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rPr>
              <w:t>119</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1、业务工作经费</w:t>
            </w:r>
          </w:p>
        </w:tc>
        <w:tc>
          <w:tcPr>
            <w:tcW w:w="2416" w:type="dxa"/>
            <w:gridSpan w:val="2"/>
            <w:noWrap w:val="0"/>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3,118.22</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kern w:val="0"/>
                <w:sz w:val="21"/>
                <w:szCs w:val="21"/>
                <w:lang w:val="en-US"/>
              </w:rPr>
            </w:pPr>
            <w:r>
              <w:rPr>
                <w:rFonts w:hint="eastAsia" w:ascii="仿宋" w:hAnsi="仿宋" w:eastAsia="仿宋" w:cs="仿宋"/>
                <w:kern w:val="0"/>
                <w:sz w:val="21"/>
                <w:szCs w:val="21"/>
                <w:lang w:val="en-US" w:eastAsia="zh-CN"/>
              </w:rPr>
              <w:t>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2、运行维护经费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3、专项资金</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w:t>
            </w:r>
            <w:r>
              <w:rPr>
                <w:rFonts w:hint="eastAsia" w:ascii="仿宋" w:hAnsi="仿宋" w:eastAsia="仿宋" w:cs="仿宋"/>
                <w:kern w:val="0"/>
                <w:sz w:val="21"/>
                <w:szCs w:val="21"/>
              </w:rPr>
              <w:t>210.5</w:t>
            </w:r>
            <w:r>
              <w:rPr>
                <w:rFonts w:hint="eastAsia" w:ascii="仿宋" w:hAnsi="仿宋" w:eastAsia="仿宋" w:cs="仿宋"/>
                <w:kern w:val="0"/>
                <w:sz w:val="21"/>
                <w:szCs w:val="21"/>
                <w:lang w:val="en-US" w:eastAsia="zh-CN"/>
              </w:rPr>
              <w:t>0</w:t>
            </w:r>
            <w:r>
              <w:rPr>
                <w:rFonts w:hint="eastAsia" w:ascii="仿宋" w:hAnsi="仿宋" w:eastAsia="仿宋" w:cs="仿宋"/>
                <w:kern w:val="0"/>
                <w:sz w:val="21"/>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5,107.11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kern w:val="0"/>
                <w:sz w:val="21"/>
                <w:szCs w:val="21"/>
                <w:lang w:val="en-US" w:eastAsia="zh-CN"/>
              </w:rPr>
              <w:t>其中：</w:t>
            </w:r>
            <w:r>
              <w:rPr>
                <w:rFonts w:hint="eastAsia" w:eastAsia="仿宋_GB2312"/>
                <w:kern w:val="0"/>
                <w:sz w:val="21"/>
                <w:szCs w:val="21"/>
              </w:rPr>
              <w:t>安全整治专项经费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28.50</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eastAsia="zh-CN"/>
              </w:rPr>
            </w:pPr>
            <w:r>
              <w:rPr>
                <w:rFonts w:hint="eastAsia" w:eastAsia="仿宋_GB2312"/>
                <w:kern w:val="0"/>
                <w:sz w:val="21"/>
                <w:szCs w:val="21"/>
              </w:rPr>
              <w:t>农村公路</w:t>
            </w:r>
            <w:r>
              <w:rPr>
                <w:rFonts w:hint="eastAsia"/>
                <w:kern w:val="0"/>
                <w:sz w:val="21"/>
                <w:szCs w:val="21"/>
                <w:lang w:val="en-US" w:eastAsia="zh-CN"/>
              </w:rPr>
              <w:t>建设及</w:t>
            </w:r>
            <w:r>
              <w:rPr>
                <w:rFonts w:hint="eastAsia" w:eastAsia="仿宋_GB2312"/>
                <w:kern w:val="0"/>
                <w:sz w:val="21"/>
                <w:szCs w:val="21"/>
              </w:rPr>
              <w:t>养护经费</w:t>
            </w:r>
            <w:r>
              <w:rPr>
                <w:rFonts w:hint="eastAsia"/>
                <w:kern w:val="0"/>
                <w:sz w:val="21"/>
                <w:szCs w:val="21"/>
                <w:lang w:eastAsia="zh-CN"/>
              </w:rPr>
              <w:t>（</w:t>
            </w:r>
            <w:r>
              <w:rPr>
                <w:rFonts w:hint="eastAsia"/>
                <w:kern w:val="0"/>
                <w:sz w:val="21"/>
                <w:szCs w:val="21"/>
                <w:lang w:val="en-US" w:eastAsia="zh-CN"/>
              </w:rPr>
              <w:t>含上级补助资金</w:t>
            </w:r>
            <w:r>
              <w:rPr>
                <w:rFonts w:hint="eastAsia"/>
                <w:kern w:val="0"/>
                <w:sz w:val="21"/>
                <w:szCs w:val="21"/>
                <w:lang w:eastAsia="zh-CN"/>
              </w:rPr>
              <w:t>）</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755.00</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611.98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hint="eastAsia" w:eastAsia="仿宋_GB2312"/>
                <w:kern w:val="0"/>
                <w:sz w:val="21"/>
                <w:szCs w:val="21"/>
              </w:rPr>
              <w:t>市驻区交通执法大队专项经费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427.00</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53.31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lang w:eastAsia="zh-CN"/>
              </w:rPr>
            </w:pPr>
            <w:r>
              <w:rPr>
                <w:rFonts w:hint="eastAsia" w:eastAsia="仿宋_GB2312"/>
                <w:kern w:val="0"/>
                <w:sz w:val="21"/>
                <w:szCs w:val="21"/>
                <w:lang w:val="en-US" w:eastAsia="zh-CN"/>
              </w:rPr>
              <w:t>春节、端午节节气资金</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lang w:val="en-US" w:eastAsia="zh-CN"/>
              </w:rPr>
            </w:pP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726.75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rPr>
            </w:pPr>
            <w:r>
              <w:rPr>
                <w:rFonts w:hint="eastAsia" w:eastAsia="仿宋_GB2312"/>
                <w:kern w:val="0"/>
                <w:sz w:val="21"/>
                <w:szCs w:val="21"/>
              </w:rPr>
              <w:t>2022年站场建设补助资金</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lang w:val="en-US" w:eastAsia="zh-CN"/>
              </w:rPr>
            </w:pP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rPr>
            </w:pPr>
            <w:r>
              <w:rPr>
                <w:rFonts w:hint="eastAsia" w:eastAsia="仿宋_GB2312"/>
                <w:kern w:val="0"/>
                <w:sz w:val="21"/>
                <w:szCs w:val="21"/>
              </w:rPr>
              <w:t>2020</w:t>
            </w:r>
            <w:r>
              <w:rPr>
                <w:rFonts w:hint="eastAsia" w:eastAsia="仿宋_GB2312"/>
                <w:kern w:val="0"/>
                <w:sz w:val="21"/>
                <w:szCs w:val="21"/>
                <w:lang w:val="en-US" w:eastAsia="zh-CN"/>
              </w:rPr>
              <w:t>-2021</w:t>
            </w:r>
            <w:r>
              <w:rPr>
                <w:rFonts w:hint="eastAsia" w:eastAsia="仿宋_GB2312"/>
                <w:kern w:val="0"/>
                <w:sz w:val="21"/>
                <w:szCs w:val="21"/>
              </w:rPr>
              <w:t>年度出租车成品油价格外贴资金</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lang w:val="en-US" w:eastAsia="zh-CN"/>
              </w:rPr>
            </w:pP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3,134.63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kern w:val="0"/>
                <w:sz w:val="21"/>
                <w:szCs w:val="21"/>
              </w:rPr>
            </w:pPr>
            <w:r>
              <w:rPr>
                <w:rFonts w:hint="eastAsia" w:eastAsia="仿宋_GB2312"/>
                <w:kern w:val="0"/>
                <w:sz w:val="21"/>
                <w:szCs w:val="21"/>
              </w:rPr>
              <w:t>新冠疫情防控项目经费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 w:hAnsi="仿宋" w:eastAsia="仿宋" w:cs="仿宋"/>
                <w:kern w:val="0"/>
                <w:sz w:val="21"/>
                <w:szCs w:val="21"/>
                <w:lang w:val="en-US" w:eastAsia="zh-CN"/>
              </w:rPr>
            </w:pP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201.94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420" w:firstLineChars="200"/>
              <w:jc w:val="left"/>
              <w:textAlignment w:val="auto"/>
              <w:rPr>
                <w:rFonts w:eastAsia="仿宋_GB2312"/>
                <w:kern w:val="0"/>
                <w:sz w:val="21"/>
                <w:szCs w:val="21"/>
              </w:rPr>
            </w:pPr>
            <w:r>
              <w:rPr>
                <w:rFonts w:eastAsia="仿宋_GB2312"/>
                <w:kern w:val="0"/>
                <w:sz w:val="21"/>
                <w:szCs w:val="21"/>
              </w:rPr>
              <w:t>4、其他事业类发展资金</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Cs w:val="21"/>
              </w:rPr>
            </w:pP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公用经费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79.43</w:t>
            </w:r>
            <w:r>
              <w:rPr>
                <w:rFonts w:eastAsia="仿宋_GB2312"/>
                <w:kern w:val="0"/>
                <w:sz w:val="21"/>
                <w:szCs w:val="21"/>
              </w:rPr>
              <w:t>　</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FF0000"/>
                <w:kern w:val="0"/>
                <w:sz w:val="21"/>
                <w:szCs w:val="21"/>
                <w:lang w:val="en-US" w:eastAsia="zh-CN"/>
              </w:rPr>
            </w:pPr>
            <w:r>
              <w:rPr>
                <w:rFonts w:hint="eastAsia" w:ascii="Times New Roman" w:hAnsi="Times New Roman" w:cs="Times New Roman"/>
                <w:color w:val="auto"/>
                <w:kern w:val="0"/>
                <w:sz w:val="21"/>
                <w:szCs w:val="21"/>
                <w:lang w:val="en-US" w:eastAsia="zh-CN"/>
              </w:rPr>
              <w:t xml:space="preserve">85.00 </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74.93</w:t>
            </w:r>
            <w:r>
              <w:rPr>
                <w:rFonts w:eastAsia="仿宋_GB2312"/>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其中：办公费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FF0000"/>
                <w:kern w:val="0"/>
                <w:sz w:val="21"/>
                <w:szCs w:val="21"/>
                <w:lang w:val="en-US" w:eastAsia="zh-CN"/>
              </w:rPr>
            </w:pPr>
            <w:r>
              <w:rPr>
                <w:rFonts w:hint="eastAsia" w:eastAsia="仿宋_GB2312"/>
                <w:color w:val="FF0000"/>
                <w:kern w:val="0"/>
                <w:sz w:val="21"/>
                <w:szCs w:val="21"/>
              </w:rPr>
              <w:t>26</w:t>
            </w:r>
            <w:r>
              <w:rPr>
                <w:rFonts w:hint="eastAsia"/>
                <w:color w:val="FF0000"/>
                <w:kern w:val="0"/>
                <w:sz w:val="21"/>
                <w:szCs w:val="21"/>
                <w:lang w:eastAsia="zh-CN"/>
              </w:rPr>
              <w:t>.</w:t>
            </w:r>
            <w:r>
              <w:rPr>
                <w:rFonts w:hint="eastAsia" w:eastAsia="仿宋_GB2312"/>
                <w:color w:val="FF0000"/>
                <w:kern w:val="0"/>
                <w:sz w:val="21"/>
                <w:szCs w:val="21"/>
              </w:rPr>
              <w:t>3</w:t>
            </w:r>
            <w:r>
              <w:rPr>
                <w:rFonts w:hint="eastAsia"/>
                <w:color w:val="FF0000"/>
                <w:kern w:val="0"/>
                <w:sz w:val="21"/>
                <w:szCs w:val="21"/>
                <w:lang w:val="en-US" w:eastAsia="zh-CN"/>
              </w:rPr>
              <w:t>4</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FF0000"/>
                <w:kern w:val="0"/>
                <w:sz w:val="21"/>
                <w:szCs w:val="21"/>
                <w:lang w:val="en-US" w:eastAsia="zh-CN"/>
              </w:rPr>
            </w:pPr>
            <w:r>
              <w:rPr>
                <w:rFonts w:hint="eastAsia" w:ascii="Times New Roman" w:hAnsi="Times New Roman" w:cs="Times New Roman"/>
                <w:color w:val="FF0000"/>
                <w:kern w:val="0"/>
                <w:sz w:val="21"/>
                <w:szCs w:val="21"/>
                <w:lang w:val="en-US" w:eastAsia="zh-CN"/>
              </w:rPr>
              <w:t>23.28</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hint="eastAsia" w:eastAsia="仿宋_GB2312"/>
                <w:color w:val="FF0000"/>
                <w:kern w:val="0"/>
                <w:sz w:val="21"/>
                <w:szCs w:val="21"/>
              </w:rPr>
              <w:t>23</w:t>
            </w:r>
            <w:r>
              <w:rPr>
                <w:rFonts w:hint="eastAsia"/>
                <w:color w:val="FF0000"/>
                <w:kern w:val="0"/>
                <w:sz w:val="21"/>
                <w:szCs w:val="21"/>
                <w:lang w:eastAsia="zh-CN"/>
              </w:rPr>
              <w:t>.</w:t>
            </w:r>
            <w:r>
              <w:rPr>
                <w:rFonts w:hint="eastAsia"/>
                <w:color w:val="FF0000"/>
                <w:kern w:val="0"/>
                <w:sz w:val="21"/>
                <w:szCs w:val="21"/>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水费、电费、差旅费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FF0000"/>
                <w:kern w:val="0"/>
                <w:sz w:val="21"/>
                <w:szCs w:val="21"/>
                <w:lang w:val="en-US" w:eastAsia="zh-CN"/>
              </w:rPr>
            </w:pPr>
            <w:r>
              <w:rPr>
                <w:rFonts w:hint="eastAsia"/>
                <w:color w:val="FF0000"/>
                <w:kern w:val="0"/>
                <w:sz w:val="21"/>
                <w:szCs w:val="21"/>
                <w:lang w:val="en-US" w:eastAsia="zh-CN"/>
              </w:rPr>
              <w:t>0</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FF0000"/>
                <w:kern w:val="0"/>
                <w:sz w:val="21"/>
                <w:szCs w:val="21"/>
                <w:lang w:val="en-US" w:eastAsia="zh-CN"/>
              </w:rPr>
            </w:pPr>
            <w:r>
              <w:rPr>
                <w:rFonts w:hint="eastAsia" w:ascii="Times New Roman" w:hAnsi="Times New Roman" w:cs="Times New Roman"/>
                <w:color w:val="FF0000"/>
                <w:kern w:val="0"/>
                <w:sz w:val="21"/>
                <w:szCs w:val="21"/>
                <w:lang w:val="en-US" w:eastAsia="zh-CN"/>
              </w:rPr>
              <w:t>0.50</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FF0000"/>
                <w:kern w:val="0"/>
                <w:sz w:val="21"/>
                <w:szCs w:val="21"/>
                <w:lang w:val="en-US" w:eastAsia="zh-CN" w:bidi="ar-SA"/>
              </w:rPr>
            </w:pPr>
            <w:r>
              <w:rPr>
                <w:rFonts w:hint="eastAsia" w:ascii="Times New Roman" w:hAnsi="Times New Roman" w:cs="Times New Roman"/>
                <w:color w:val="FF0000"/>
                <w:kern w:val="0"/>
                <w:sz w:val="21"/>
                <w:szCs w:val="21"/>
                <w:lang w:val="en-US" w:eastAsia="zh-CN"/>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 xml:space="preserve">          会议费、培训费</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FF0000"/>
                <w:kern w:val="0"/>
                <w:sz w:val="21"/>
                <w:szCs w:val="21"/>
              </w:rPr>
            </w:pPr>
            <w:r>
              <w:rPr>
                <w:rFonts w:hint="eastAsia"/>
                <w:color w:val="FF0000"/>
                <w:kern w:val="0"/>
                <w:sz w:val="21"/>
                <w:szCs w:val="21"/>
                <w:lang w:val="en-US" w:eastAsia="zh-CN"/>
              </w:rPr>
              <w:t>0</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FF0000"/>
                <w:kern w:val="0"/>
                <w:sz w:val="21"/>
                <w:szCs w:val="21"/>
                <w:lang w:val="en-US" w:eastAsia="zh-CN"/>
              </w:rPr>
            </w:pPr>
            <w:r>
              <w:rPr>
                <w:rFonts w:hint="eastAsia" w:ascii="Times New Roman" w:hAnsi="Times New Roman" w:cs="Times New Roman"/>
                <w:color w:val="FF0000"/>
                <w:kern w:val="0"/>
                <w:sz w:val="21"/>
                <w:szCs w:val="21"/>
                <w:lang w:val="en-US" w:eastAsia="zh-CN"/>
              </w:rPr>
              <w:t>1.00</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FF0000"/>
                <w:kern w:val="0"/>
                <w:sz w:val="21"/>
                <w:szCs w:val="21"/>
                <w:lang w:val="en-US" w:eastAsia="zh-CN" w:bidi="ar-SA"/>
              </w:rPr>
            </w:pPr>
            <w:r>
              <w:rPr>
                <w:rFonts w:hint="eastAsia"/>
                <w:color w:val="FF0000"/>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313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kern w:val="0"/>
                <w:sz w:val="21"/>
                <w:szCs w:val="21"/>
              </w:rPr>
            </w:pPr>
            <w:r>
              <w:rPr>
                <w:rFonts w:eastAsia="仿宋_GB2312"/>
                <w:kern w:val="0"/>
                <w:sz w:val="21"/>
                <w:szCs w:val="21"/>
              </w:rPr>
              <w:t>政府采购金额</w:t>
            </w:r>
          </w:p>
        </w:tc>
        <w:tc>
          <w:tcPr>
            <w:tcW w:w="2416"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eastAsia="仿宋_GB2312"/>
                <w:kern w:val="0"/>
                <w:sz w:val="21"/>
                <w:szCs w:val="21"/>
              </w:rPr>
              <w:t>——</w:t>
            </w:r>
          </w:p>
        </w:tc>
        <w:tc>
          <w:tcPr>
            <w:tcW w:w="205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kern w:val="0"/>
                <w:sz w:val="21"/>
                <w:szCs w:val="21"/>
                <w:lang w:val="en-US" w:eastAsia="zh-CN"/>
              </w:rPr>
            </w:pPr>
            <w:r>
              <w:rPr>
                <w:rFonts w:hint="eastAsia" w:eastAsia="仿宋_GB2312"/>
                <w:kern w:val="0"/>
                <w:sz w:val="21"/>
                <w:szCs w:val="21"/>
              </w:rPr>
              <w:t>377.7</w:t>
            </w:r>
            <w:r>
              <w:rPr>
                <w:rFonts w:hint="eastAsia"/>
                <w:kern w:val="0"/>
                <w:sz w:val="21"/>
                <w:szCs w:val="21"/>
                <w:lang w:val="en-US" w:eastAsia="zh-CN"/>
              </w:rPr>
              <w:t>0</w:t>
            </w:r>
          </w:p>
        </w:tc>
        <w:tc>
          <w:tcPr>
            <w:tcW w:w="1861"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kern w:val="0"/>
                <w:sz w:val="21"/>
                <w:szCs w:val="21"/>
              </w:rPr>
            </w:pPr>
            <w:r>
              <w:rPr>
                <w:rFonts w:hint="eastAsia"/>
                <w:kern w:val="0"/>
                <w:sz w:val="21"/>
                <w:szCs w:val="21"/>
                <w:lang w:val="en-US" w:eastAsia="zh-CN"/>
              </w:rPr>
              <w:t>125.05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3137" w:type="dxa"/>
            <w:noWrap w:val="0"/>
            <w:vAlign w:val="center"/>
          </w:tcPr>
          <w:p>
            <w:pPr>
              <w:widowControl/>
              <w:jc w:val="left"/>
              <w:rPr>
                <w:rFonts w:eastAsia="仿宋_GB2312"/>
                <w:kern w:val="0"/>
                <w:sz w:val="21"/>
                <w:szCs w:val="21"/>
              </w:rPr>
            </w:pPr>
            <w:r>
              <w:rPr>
                <w:rFonts w:eastAsia="仿宋_GB2312"/>
                <w:kern w:val="0"/>
                <w:sz w:val="21"/>
                <w:szCs w:val="21"/>
              </w:rPr>
              <w:t xml:space="preserve">部门基本支出预算调整 </w:t>
            </w:r>
          </w:p>
        </w:tc>
        <w:tc>
          <w:tcPr>
            <w:tcW w:w="2416" w:type="dxa"/>
            <w:gridSpan w:val="2"/>
            <w:noWrap w:val="0"/>
            <w:vAlign w:val="center"/>
          </w:tcPr>
          <w:p>
            <w:pPr>
              <w:widowControl/>
              <w:jc w:val="center"/>
              <w:rPr>
                <w:rFonts w:eastAsia="仿宋_GB2312"/>
                <w:kern w:val="0"/>
                <w:sz w:val="21"/>
                <w:szCs w:val="21"/>
              </w:rPr>
            </w:pPr>
            <w:r>
              <w:rPr>
                <w:rFonts w:eastAsia="仿宋_GB2312"/>
                <w:kern w:val="0"/>
                <w:sz w:val="21"/>
                <w:szCs w:val="21"/>
              </w:rPr>
              <w:t>——</w:t>
            </w:r>
          </w:p>
        </w:tc>
        <w:tc>
          <w:tcPr>
            <w:tcW w:w="2050" w:type="dxa"/>
            <w:gridSpan w:val="2"/>
            <w:noWrap w:val="0"/>
            <w:vAlign w:val="center"/>
          </w:tcPr>
          <w:p>
            <w:pPr>
              <w:widowControl/>
              <w:jc w:val="center"/>
              <w:rPr>
                <w:rFonts w:eastAsia="仿宋_GB2312"/>
                <w:kern w:val="0"/>
                <w:sz w:val="21"/>
                <w:szCs w:val="21"/>
              </w:rPr>
            </w:pPr>
            <w:r>
              <w:rPr>
                <w:rFonts w:hint="eastAsia" w:eastAsia="仿宋_GB2312"/>
                <w:kern w:val="0"/>
                <w:sz w:val="21"/>
                <w:szCs w:val="21"/>
              </w:rPr>
              <w:t>1</w:t>
            </w:r>
            <w:r>
              <w:rPr>
                <w:rFonts w:hint="eastAsia"/>
                <w:kern w:val="0"/>
                <w:sz w:val="21"/>
                <w:szCs w:val="21"/>
                <w:lang w:val="en-US" w:eastAsia="zh-CN"/>
              </w:rPr>
              <w:t>,</w:t>
            </w:r>
            <w:r>
              <w:rPr>
                <w:rFonts w:hint="eastAsia" w:eastAsia="仿宋_GB2312"/>
                <w:kern w:val="0"/>
                <w:sz w:val="21"/>
                <w:szCs w:val="21"/>
              </w:rPr>
              <w:t>045</w:t>
            </w:r>
            <w:r>
              <w:rPr>
                <w:rFonts w:hint="eastAsia"/>
                <w:kern w:val="0"/>
                <w:sz w:val="21"/>
                <w:szCs w:val="21"/>
                <w:lang w:val="en-US" w:eastAsia="zh-CN"/>
              </w:rPr>
              <w:t>.</w:t>
            </w:r>
            <w:r>
              <w:rPr>
                <w:rFonts w:hint="eastAsia" w:eastAsia="仿宋_GB2312"/>
                <w:kern w:val="0"/>
                <w:sz w:val="21"/>
                <w:szCs w:val="21"/>
              </w:rPr>
              <w:t>65</w:t>
            </w:r>
          </w:p>
        </w:tc>
        <w:tc>
          <w:tcPr>
            <w:tcW w:w="1861" w:type="dxa"/>
            <w:gridSpan w:val="2"/>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1,376.07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3137" w:type="dxa"/>
            <w:vMerge w:val="restart"/>
            <w:noWrap w:val="0"/>
            <w:vAlign w:val="center"/>
          </w:tcPr>
          <w:p>
            <w:pPr>
              <w:widowControl/>
              <w:jc w:val="center"/>
              <w:rPr>
                <w:rFonts w:eastAsia="仿宋_GB2312"/>
                <w:kern w:val="0"/>
                <w:sz w:val="21"/>
                <w:szCs w:val="21"/>
              </w:rPr>
            </w:pPr>
            <w:r>
              <w:rPr>
                <w:rFonts w:eastAsia="仿宋_GB2312"/>
                <w:kern w:val="0"/>
                <w:sz w:val="21"/>
                <w:szCs w:val="21"/>
              </w:rPr>
              <w:t>楼堂馆所控制情况</w:t>
            </w:r>
            <w:r>
              <w:rPr>
                <w:rFonts w:eastAsia="仿宋_GB2312"/>
                <w:kern w:val="0"/>
                <w:sz w:val="21"/>
                <w:szCs w:val="21"/>
              </w:rPr>
              <w:br w:type="textWrapping"/>
            </w:r>
            <w:r>
              <w:rPr>
                <w:rFonts w:eastAsia="仿宋_GB2312"/>
                <w:kern w:val="0"/>
                <w:sz w:val="21"/>
                <w:szCs w:val="21"/>
              </w:rPr>
              <w:t>（20</w:t>
            </w:r>
            <w:r>
              <w:rPr>
                <w:rFonts w:hint="eastAsia" w:eastAsia="仿宋_GB2312"/>
                <w:kern w:val="0"/>
                <w:sz w:val="21"/>
                <w:szCs w:val="21"/>
              </w:rPr>
              <w:t>2</w:t>
            </w:r>
            <w:r>
              <w:rPr>
                <w:rFonts w:hint="eastAsia"/>
                <w:kern w:val="0"/>
                <w:sz w:val="21"/>
                <w:szCs w:val="21"/>
                <w:lang w:val="en-US" w:eastAsia="zh-CN"/>
              </w:rPr>
              <w:t>2</w:t>
            </w:r>
            <w:r>
              <w:rPr>
                <w:rFonts w:eastAsia="仿宋_GB2312"/>
                <w:kern w:val="0"/>
                <w:sz w:val="21"/>
                <w:szCs w:val="21"/>
              </w:rPr>
              <w:t>年完工项目）</w:t>
            </w:r>
          </w:p>
        </w:tc>
        <w:tc>
          <w:tcPr>
            <w:tcW w:w="1041"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批复规模（</w:t>
            </w:r>
            <w:r>
              <w:rPr>
                <w:rFonts w:eastAsia="Batang"/>
                <w:bCs/>
                <w:kern w:val="0"/>
                <w:sz w:val="21"/>
                <w:szCs w:val="21"/>
              </w:rPr>
              <w:t>㎡</w:t>
            </w:r>
            <w:r>
              <w:rPr>
                <w:rFonts w:eastAsia="仿宋_GB2312"/>
                <w:bCs/>
                <w:kern w:val="0"/>
                <w:sz w:val="21"/>
                <w:szCs w:val="21"/>
              </w:rPr>
              <w:t>）</w:t>
            </w:r>
          </w:p>
        </w:tc>
        <w:tc>
          <w:tcPr>
            <w:tcW w:w="1375" w:type="dxa"/>
            <w:noWrap w:val="0"/>
            <w:vAlign w:val="center"/>
          </w:tcPr>
          <w:p>
            <w:pPr>
              <w:widowControl/>
              <w:wordWrap w:val="0"/>
              <w:spacing w:line="240" w:lineRule="exact"/>
              <w:rPr>
                <w:rFonts w:eastAsia="仿宋_GB2312"/>
                <w:bCs/>
                <w:kern w:val="0"/>
                <w:sz w:val="21"/>
                <w:szCs w:val="21"/>
              </w:rPr>
            </w:pPr>
            <w:r>
              <w:rPr>
                <w:rFonts w:eastAsia="仿宋_GB2312"/>
                <w:bCs/>
                <w:kern w:val="0"/>
                <w:sz w:val="21"/>
                <w:szCs w:val="21"/>
              </w:rPr>
              <w:t>实际规模（</w:t>
            </w:r>
            <w:r>
              <w:rPr>
                <w:rFonts w:eastAsia="Batang"/>
                <w:bCs/>
                <w:kern w:val="0"/>
                <w:sz w:val="21"/>
                <w:szCs w:val="21"/>
              </w:rPr>
              <w:t>㎡</w:t>
            </w:r>
            <w:r>
              <w:rPr>
                <w:rFonts w:eastAsia="仿宋_GB2312"/>
                <w:bCs/>
                <w:kern w:val="0"/>
                <w:sz w:val="21"/>
                <w:szCs w:val="21"/>
              </w:rPr>
              <w:t>）</w:t>
            </w:r>
          </w:p>
        </w:tc>
        <w:tc>
          <w:tcPr>
            <w:tcW w:w="1017" w:type="dxa"/>
            <w:noWrap w:val="0"/>
            <w:vAlign w:val="center"/>
          </w:tcPr>
          <w:p>
            <w:pPr>
              <w:widowControl/>
              <w:spacing w:line="240" w:lineRule="exact"/>
              <w:rPr>
                <w:rFonts w:eastAsia="仿宋_GB2312"/>
                <w:bCs/>
                <w:kern w:val="0"/>
                <w:sz w:val="21"/>
                <w:szCs w:val="21"/>
              </w:rPr>
            </w:pPr>
            <w:r>
              <w:rPr>
                <w:rFonts w:eastAsia="仿宋_GB2312"/>
                <w:bCs/>
                <w:kern w:val="0"/>
                <w:sz w:val="21"/>
                <w:szCs w:val="21"/>
              </w:rPr>
              <w:t>规模控制率</w:t>
            </w:r>
            <w:r>
              <w:rPr>
                <w:rFonts w:hint="eastAsia" w:eastAsia="仿宋_GB2312"/>
                <w:bCs/>
                <w:kern w:val="0"/>
                <w:sz w:val="21"/>
                <w:szCs w:val="21"/>
              </w:rPr>
              <w:t>（理想值≤1）</w:t>
            </w:r>
          </w:p>
        </w:tc>
        <w:tc>
          <w:tcPr>
            <w:tcW w:w="1033"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预算投资（万元）</w:t>
            </w:r>
          </w:p>
        </w:tc>
        <w:tc>
          <w:tcPr>
            <w:tcW w:w="984" w:type="dxa"/>
            <w:noWrap w:val="0"/>
            <w:vAlign w:val="center"/>
          </w:tcPr>
          <w:p>
            <w:pPr>
              <w:widowControl/>
              <w:spacing w:line="240" w:lineRule="exact"/>
              <w:jc w:val="center"/>
              <w:rPr>
                <w:rFonts w:eastAsia="仿宋_GB2312"/>
                <w:bCs/>
                <w:kern w:val="0"/>
                <w:sz w:val="21"/>
                <w:szCs w:val="21"/>
              </w:rPr>
            </w:pPr>
            <w:r>
              <w:rPr>
                <w:rFonts w:eastAsia="仿宋_GB2312"/>
                <w:bCs/>
                <w:kern w:val="0"/>
                <w:sz w:val="21"/>
                <w:szCs w:val="21"/>
              </w:rPr>
              <w:t>实际投资（万元）</w:t>
            </w:r>
          </w:p>
        </w:tc>
        <w:tc>
          <w:tcPr>
            <w:tcW w:w="877" w:type="dxa"/>
            <w:noWrap w:val="0"/>
            <w:vAlign w:val="center"/>
          </w:tcPr>
          <w:p>
            <w:pPr>
              <w:widowControl/>
              <w:spacing w:line="240" w:lineRule="exact"/>
              <w:rPr>
                <w:rFonts w:eastAsia="仿宋_GB2312"/>
                <w:bCs/>
                <w:kern w:val="0"/>
                <w:sz w:val="21"/>
                <w:szCs w:val="21"/>
              </w:rPr>
            </w:pPr>
            <w:r>
              <w:rPr>
                <w:rFonts w:eastAsia="仿宋_GB2312"/>
                <w:bCs/>
                <w:kern w:val="0"/>
                <w:sz w:val="21"/>
                <w:szCs w:val="21"/>
              </w:rPr>
              <w:t>投资概算控制率</w:t>
            </w:r>
            <w:r>
              <w:rPr>
                <w:rFonts w:hint="eastAsia" w:eastAsia="仿宋_GB2312"/>
                <w:bCs/>
                <w:kern w:val="0"/>
                <w:sz w:val="21"/>
                <w:szCs w:val="21"/>
              </w:rPr>
              <w:t>（理想值≤1）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37" w:type="dxa"/>
            <w:vMerge w:val="continue"/>
            <w:noWrap w:val="0"/>
            <w:vAlign w:val="center"/>
          </w:tcPr>
          <w:p>
            <w:pPr>
              <w:widowControl/>
              <w:jc w:val="left"/>
              <w:rPr>
                <w:rFonts w:eastAsia="仿宋_GB2312"/>
                <w:kern w:val="0"/>
                <w:sz w:val="21"/>
                <w:szCs w:val="21"/>
              </w:rPr>
            </w:pPr>
          </w:p>
        </w:tc>
        <w:tc>
          <w:tcPr>
            <w:tcW w:w="1041"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c>
          <w:tcPr>
            <w:tcW w:w="1375"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c>
          <w:tcPr>
            <w:tcW w:w="1017" w:type="dxa"/>
            <w:noWrap w:val="0"/>
            <w:vAlign w:val="center"/>
          </w:tcPr>
          <w:p>
            <w:pPr>
              <w:widowControl/>
              <w:wordWrap w:val="0"/>
              <w:jc w:val="center"/>
              <w:rPr>
                <w:rFonts w:hint="eastAsia" w:eastAsia="仿宋_GB2312"/>
                <w:kern w:val="0"/>
                <w:sz w:val="21"/>
                <w:szCs w:val="21"/>
                <w:lang w:eastAsia="zh-CN"/>
              </w:rPr>
            </w:pPr>
            <w:r>
              <w:rPr>
                <w:rFonts w:hint="eastAsia"/>
                <w:kern w:val="0"/>
                <w:sz w:val="21"/>
                <w:szCs w:val="21"/>
                <w:lang w:val="en-US" w:eastAsia="zh-CN"/>
              </w:rPr>
              <w:t>0</w:t>
            </w:r>
          </w:p>
        </w:tc>
        <w:tc>
          <w:tcPr>
            <w:tcW w:w="1033"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c>
          <w:tcPr>
            <w:tcW w:w="984"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c>
          <w:tcPr>
            <w:tcW w:w="877" w:type="dxa"/>
            <w:noWrap w:val="0"/>
            <w:vAlign w:val="center"/>
          </w:tcPr>
          <w:p>
            <w:pPr>
              <w:widowControl/>
              <w:jc w:val="center"/>
              <w:rPr>
                <w:rFonts w:hint="eastAsia" w:eastAsia="仿宋_GB2312"/>
                <w:kern w:val="0"/>
                <w:sz w:val="21"/>
                <w:szCs w:val="21"/>
                <w:lang w:val="en-US" w:eastAsia="zh-CN"/>
              </w:rPr>
            </w:pPr>
            <w:r>
              <w:rPr>
                <w:rFonts w:hint="eastAsia"/>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137" w:type="dxa"/>
            <w:noWrap w:val="0"/>
            <w:vAlign w:val="center"/>
          </w:tcPr>
          <w:p>
            <w:pPr>
              <w:widowControl/>
              <w:jc w:val="center"/>
              <w:rPr>
                <w:rFonts w:eastAsia="仿宋_GB2312"/>
                <w:kern w:val="0"/>
                <w:sz w:val="21"/>
                <w:szCs w:val="21"/>
              </w:rPr>
            </w:pPr>
            <w:r>
              <w:rPr>
                <w:rFonts w:eastAsia="仿宋_GB2312"/>
                <w:kern w:val="0"/>
                <w:sz w:val="21"/>
                <w:szCs w:val="21"/>
              </w:rPr>
              <w:t>厉行节约保障措施</w:t>
            </w:r>
          </w:p>
        </w:tc>
        <w:tc>
          <w:tcPr>
            <w:tcW w:w="6327" w:type="dxa"/>
            <w:gridSpan w:val="6"/>
            <w:noWrap w:val="0"/>
            <w:vAlign w:val="center"/>
          </w:tcPr>
          <w:p>
            <w:pPr>
              <w:widowControl/>
              <w:jc w:val="center"/>
              <w:rPr>
                <w:rFonts w:eastAsia="仿宋_GB2312"/>
                <w:kern w:val="0"/>
                <w:sz w:val="21"/>
                <w:szCs w:val="21"/>
              </w:rPr>
            </w:pPr>
            <w:r>
              <w:rPr>
                <w:rFonts w:hint="eastAsia" w:eastAsia="仿宋_GB2312"/>
                <w:kern w:val="0"/>
                <w:sz w:val="21"/>
                <w:szCs w:val="21"/>
              </w:rPr>
              <w:t>2022年，</w:t>
            </w:r>
            <w:r>
              <w:rPr>
                <w:rFonts w:hint="eastAsia"/>
                <w:kern w:val="0"/>
                <w:sz w:val="21"/>
                <w:szCs w:val="21"/>
                <w:lang w:val="en-US" w:eastAsia="zh-CN"/>
              </w:rPr>
              <w:t>本单位</w:t>
            </w:r>
            <w:r>
              <w:rPr>
                <w:rFonts w:hint="eastAsia" w:eastAsia="仿宋_GB2312"/>
                <w:kern w:val="0"/>
                <w:sz w:val="21"/>
                <w:szCs w:val="21"/>
              </w:rPr>
              <w:t>在强化业务管理、财务管理和厉行节约方面开展了大量工作，行政效能显著。严格执行国库集中支付、公务卡结算制度、政府采购等有关规定，政府采购目录内的货物与服务全部按要求实施了政府采购，确保了支出管理流程、审批手续的完整，强化资金使用的监督管理及预算管理。</w:t>
            </w:r>
            <w:r>
              <w:rPr>
                <w:rFonts w:eastAsia="仿宋_GB2312"/>
                <w:kern w:val="0"/>
                <w:sz w:val="21"/>
                <w:szCs w:val="21"/>
              </w:rPr>
              <w:t>　</w:t>
            </w:r>
          </w:p>
        </w:tc>
      </w:tr>
    </w:tbl>
    <w:p>
      <w:pPr>
        <w:spacing w:line="360" w:lineRule="exact"/>
        <w:rPr>
          <w:rFonts w:hint="eastAsia" w:eastAsia="黑体"/>
          <w:sz w:val="32"/>
          <w:szCs w:val="32"/>
          <w:lang w:eastAsia="zh-CN"/>
        </w:rPr>
      </w:pPr>
      <w:r>
        <w:rPr>
          <w:rFonts w:eastAsia="仿宋_GB2312"/>
          <w:kern w:val="0"/>
          <w:sz w:val="22"/>
        </w:rPr>
        <w:t>说明：“项目支出”需要填报基本支出以外的所有项目支出情况，“公用经费”填报基本支出中的一般商品和服务支出。</w:t>
      </w:r>
      <w:r>
        <w:rPr>
          <w:rFonts w:eastAsia="仿宋_GB2312"/>
          <w:kern w:val="0"/>
          <w:sz w:val="22"/>
        </w:rPr>
        <w:br w:type="page"/>
      </w:r>
      <w:r>
        <w:rPr>
          <w:rFonts w:eastAsia="黑体"/>
          <w:sz w:val="32"/>
          <w:szCs w:val="32"/>
        </w:rPr>
        <w:t>附件</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部门整体支出绩效自评表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10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395"/>
        <w:gridCol w:w="1016"/>
        <w:gridCol w:w="1134"/>
        <w:gridCol w:w="311"/>
        <w:gridCol w:w="964"/>
        <w:gridCol w:w="942"/>
        <w:gridCol w:w="750"/>
        <w:gridCol w:w="1493"/>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区</w:t>
            </w:r>
            <w:r>
              <w:rPr>
                <w:rFonts w:eastAsia="仿宋_GB2312"/>
                <w:color w:val="000000"/>
                <w:kern w:val="0"/>
                <w:sz w:val="21"/>
                <w:szCs w:val="21"/>
              </w:rPr>
              <w:t>级预算部门名称</w:t>
            </w:r>
          </w:p>
        </w:tc>
        <w:tc>
          <w:tcPr>
            <w:tcW w:w="9243" w:type="dxa"/>
            <w:gridSpan w:val="9"/>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长沙市开福区交通运输局</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年度预</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算申请</w:t>
            </w:r>
            <w:r>
              <w:rPr>
                <w:rFonts w:eastAsia="仿宋_GB2312"/>
                <w:color w:val="000000"/>
                <w:kern w:val="0"/>
                <w:sz w:val="21"/>
                <w:szCs w:val="21"/>
              </w:rPr>
              <w:br w:type="textWrapping"/>
            </w:r>
            <w:r>
              <w:rPr>
                <w:rFonts w:eastAsia="仿宋_GB2312"/>
                <w:color w:val="000000"/>
                <w:kern w:val="0"/>
                <w:sz w:val="21"/>
                <w:szCs w:val="21"/>
              </w:rPr>
              <w:t>（万元）</w:t>
            </w:r>
          </w:p>
        </w:tc>
        <w:tc>
          <w:tcPr>
            <w:tcW w:w="2411" w:type="dxa"/>
            <w:gridSpan w:val="2"/>
            <w:tcBorders>
              <w:tl2br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年初</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预算数</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全年预算数</w:t>
            </w:r>
            <w:r>
              <w:rPr>
                <w:rFonts w:hint="eastAsia" w:eastAsia="仿宋_GB2312"/>
                <w:sz w:val="21"/>
                <w:szCs w:val="21"/>
              </w:rPr>
              <w:t>（含当年预算调整数）</w:t>
            </w:r>
          </w:p>
        </w:tc>
        <w:tc>
          <w:tcPr>
            <w:tcW w:w="94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49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2411"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color w:val="000000"/>
                <w:kern w:val="0"/>
                <w:sz w:val="21"/>
                <w:szCs w:val="21"/>
              </w:rPr>
              <w:t>年度资金总额</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hint="eastAsia" w:eastAsia="仿宋_GB2312"/>
                <w:sz w:val="21"/>
                <w:szCs w:val="21"/>
              </w:rPr>
              <w:t>2256</w:t>
            </w:r>
            <w:r>
              <w:rPr>
                <w:rFonts w:hint="eastAsia"/>
                <w:sz w:val="21"/>
                <w:szCs w:val="21"/>
                <w:lang w:val="en-US" w:eastAsia="zh-CN"/>
              </w:rPr>
              <w:t>.</w:t>
            </w:r>
            <w:r>
              <w:rPr>
                <w:rFonts w:hint="eastAsia" w:eastAsia="仿宋_GB2312"/>
                <w:sz w:val="21"/>
                <w:szCs w:val="21"/>
              </w:rPr>
              <w:t>15</w:t>
            </w:r>
          </w:p>
        </w:tc>
        <w:tc>
          <w:tcPr>
            <w:tcW w:w="1275" w:type="dxa"/>
            <w:gridSpan w:val="2"/>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sz w:val="21"/>
                <w:szCs w:val="21"/>
                <w:lang w:val="en-US" w:eastAsia="zh-CN"/>
              </w:rPr>
              <w:t>7415.66</w:t>
            </w:r>
          </w:p>
        </w:tc>
        <w:tc>
          <w:tcPr>
            <w:tcW w:w="942"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hint="eastAsia" w:eastAsia="仿宋_GB2312"/>
                <w:sz w:val="21"/>
                <w:szCs w:val="21"/>
              </w:rPr>
              <w:t>6495</w:t>
            </w:r>
            <w:r>
              <w:rPr>
                <w:rFonts w:hint="eastAsia"/>
                <w:sz w:val="21"/>
                <w:szCs w:val="21"/>
                <w:lang w:eastAsia="zh-CN"/>
              </w:rPr>
              <w:t>.</w:t>
            </w:r>
            <w:r>
              <w:rPr>
                <w:rFonts w:hint="eastAsia" w:eastAsia="仿宋_GB2312"/>
                <w:sz w:val="21"/>
                <w:szCs w:val="21"/>
              </w:rPr>
              <w:t>16</w:t>
            </w:r>
          </w:p>
        </w:tc>
        <w:tc>
          <w:tcPr>
            <w:tcW w:w="75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10</w:t>
            </w:r>
          </w:p>
        </w:tc>
        <w:tc>
          <w:tcPr>
            <w:tcW w:w="1493"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hint="eastAsia"/>
                <w:kern w:val="0"/>
                <w:sz w:val="21"/>
                <w:szCs w:val="21"/>
                <w:lang w:val="en-US" w:eastAsia="zh-CN"/>
              </w:rPr>
              <w:t>87.59</w:t>
            </w:r>
            <w:r>
              <w:rPr>
                <w:rFonts w:hint="eastAsia" w:eastAsia="仿宋_GB2312"/>
                <w:kern w:val="0"/>
                <w:sz w:val="21"/>
                <w:szCs w:val="21"/>
              </w:rPr>
              <w:t>%</w:t>
            </w:r>
          </w:p>
        </w:tc>
        <w:tc>
          <w:tcPr>
            <w:tcW w:w="1238"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eastAsia="仿宋_GB2312"/>
                <w:sz w:val="21"/>
                <w:szCs w:val="21"/>
                <w:lang w:val="en-US" w:eastAsia="zh-CN"/>
              </w:rPr>
            </w:pPr>
            <w:r>
              <w:rPr>
                <w:rFonts w:hint="eastAsia"/>
                <w:kern w:val="0"/>
                <w:sz w:val="21"/>
                <w:szCs w:val="21"/>
                <w:lang w:val="en-US" w:eastAsia="zh-CN"/>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按收入性质分：</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xml:space="preserve">  其中：  一般公共预算：</w:t>
            </w:r>
            <w:r>
              <w:rPr>
                <w:rFonts w:hint="eastAsia" w:eastAsia="仿宋_GB2312"/>
                <w:sz w:val="21"/>
                <w:szCs w:val="21"/>
              </w:rPr>
              <w:t>6495</w:t>
            </w:r>
            <w:r>
              <w:rPr>
                <w:rFonts w:hint="eastAsia"/>
                <w:sz w:val="21"/>
                <w:szCs w:val="21"/>
                <w:lang w:val="en-US" w:eastAsia="zh-CN"/>
              </w:rPr>
              <w:t>.</w:t>
            </w:r>
            <w:r>
              <w:rPr>
                <w:rFonts w:hint="eastAsia" w:eastAsia="仿宋_GB2312"/>
                <w:sz w:val="21"/>
                <w:szCs w:val="21"/>
              </w:rPr>
              <w:t>16</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其中：基本支出：</w:t>
            </w:r>
            <w:r>
              <w:rPr>
                <w:rFonts w:hint="eastAsia" w:eastAsia="仿宋_GB2312"/>
                <w:color w:val="000000"/>
                <w:kern w:val="0"/>
                <w:sz w:val="21"/>
                <w:szCs w:val="21"/>
              </w:rPr>
              <w:t>1376</w:t>
            </w:r>
            <w:r>
              <w:rPr>
                <w:rFonts w:hint="eastAsia"/>
                <w:color w:val="000000"/>
                <w:kern w:val="0"/>
                <w:sz w:val="21"/>
                <w:szCs w:val="21"/>
                <w:lang w:val="en-US" w:eastAsia="zh-CN"/>
              </w:rPr>
              <w:t>.</w:t>
            </w:r>
            <w:r>
              <w:rPr>
                <w:rFonts w:hint="eastAsia" w:eastAsia="仿宋_GB2312"/>
                <w:color w:val="000000"/>
                <w:kern w:val="0"/>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840" w:firstLineChars="4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政府性基金拨款：</w:t>
            </w:r>
            <w:r>
              <w:rPr>
                <w:rFonts w:hint="eastAsia"/>
                <w:color w:val="000000"/>
                <w:kern w:val="0"/>
                <w:sz w:val="21"/>
                <w:szCs w:val="21"/>
                <w:lang w:val="en-US" w:eastAsia="zh-CN"/>
              </w:rPr>
              <w:t>0</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项目支出：</w:t>
            </w:r>
            <w:r>
              <w:rPr>
                <w:rFonts w:hint="eastAsia" w:eastAsia="仿宋_GB2312"/>
                <w:color w:val="000000"/>
                <w:kern w:val="0"/>
                <w:sz w:val="21"/>
                <w:szCs w:val="21"/>
              </w:rPr>
              <w:t>5119</w:t>
            </w:r>
            <w:r>
              <w:rPr>
                <w:rFonts w:hint="eastAsia"/>
                <w:color w:val="000000"/>
                <w:kern w:val="0"/>
                <w:sz w:val="21"/>
                <w:szCs w:val="21"/>
                <w:lang w:val="en-US" w:eastAsia="zh-CN"/>
              </w:rPr>
              <w:t>.</w:t>
            </w:r>
            <w:r>
              <w:rPr>
                <w:rFonts w:hint="eastAsia" w:eastAsia="仿宋_GB2312"/>
                <w:color w:val="000000"/>
                <w:kern w:val="0"/>
                <w:sz w:val="21"/>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纳入专户管理的非税收入拨款：</w:t>
            </w:r>
            <w:r>
              <w:rPr>
                <w:rFonts w:hint="eastAsia"/>
                <w:color w:val="000000"/>
                <w:kern w:val="0"/>
                <w:sz w:val="21"/>
                <w:szCs w:val="21"/>
                <w:lang w:val="en-US" w:eastAsia="zh-CN"/>
              </w:rPr>
              <w:t>0</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1470" w:firstLineChars="700"/>
              <w:jc w:val="left"/>
              <w:textAlignment w:val="auto"/>
              <w:rPr>
                <w:rFonts w:hint="eastAsia" w:eastAsia="仿宋_GB2312"/>
                <w:color w:val="000000"/>
                <w:kern w:val="0"/>
                <w:sz w:val="21"/>
                <w:szCs w:val="21"/>
                <w:lang w:val="en-US" w:eastAsia="zh-CN"/>
              </w:rPr>
            </w:pPr>
            <w:r>
              <w:rPr>
                <w:rFonts w:eastAsia="仿宋_GB2312"/>
                <w:color w:val="000000"/>
                <w:kern w:val="0"/>
                <w:sz w:val="21"/>
                <w:szCs w:val="21"/>
              </w:rPr>
              <w:t>其他资金：</w:t>
            </w:r>
            <w:r>
              <w:rPr>
                <w:rFonts w:hint="eastAsia"/>
                <w:color w:val="000000"/>
                <w:kern w:val="0"/>
                <w:sz w:val="21"/>
                <w:szCs w:val="21"/>
                <w:lang w:val="en-US" w:eastAsia="zh-CN"/>
              </w:rPr>
              <w:t>0</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820" w:type="dxa"/>
            <w:gridSpan w:val="5"/>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一是加强党员干部理论学习，组织开展党组理论中心组学习10余次、局班子专题学习10余次，党员集中学习10余次，党员撰写心得体会50多篇，报送相关稿件30余篇。二是有效促进行业健康发展，协调处理外观破损修复20处，处理掉画与褶皱60余处，清洁牛皮癣小广告400余处，清洗站牌300余块，维护维修站牌180余块，更换破损褪色公交站贴200余条，更换褪色公益80余幅；定期组织人员走访货运源头企业、维修企业，约谈企业负责人和环保负责人，开展主题宣传3次，发放资料200余份，有力提升企业从业人员的环保意识。三是有力推进农村公路建养管，从2022年度区级农村公路养护经费中列支305万元作为日常养护专项费用，保障全区5</w:t>
            </w:r>
            <w:r>
              <w:rPr>
                <w:rFonts w:hint="eastAsia"/>
                <w:color w:val="000000"/>
                <w:kern w:val="0"/>
                <w:sz w:val="21"/>
                <w:szCs w:val="21"/>
                <w:lang w:val="en-US" w:eastAsia="zh-CN"/>
              </w:rPr>
              <w:t>00余</w:t>
            </w:r>
            <w:r>
              <w:rPr>
                <w:rFonts w:hint="eastAsia" w:eastAsia="仿宋_GB2312"/>
                <w:color w:val="000000"/>
                <w:kern w:val="0"/>
                <w:sz w:val="21"/>
                <w:szCs w:val="21"/>
              </w:rPr>
              <w:t>公里农村公路的日常养护。四是全面压实安全监管排查，制定《开福区道路运输行业联合执法行动方案》，牵头对存在较大安全隐患企业，开展联合执法行动。其他部门开展各类联合执法80余次，对100来家运输企业（个人）开展约谈，通过常态化联合执法和警示约谈，进一步压实企业安全生产主体责任，减少安全事故发生。</w:t>
            </w:r>
          </w:p>
        </w:tc>
        <w:tc>
          <w:tcPr>
            <w:tcW w:w="442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hint="eastAsia" w:eastAsia="仿宋_GB2312"/>
                <w:color w:val="000000"/>
                <w:kern w:val="0"/>
                <w:sz w:val="21"/>
                <w:szCs w:val="21"/>
              </w:rPr>
              <w:t>一是加强党员干部理论学习，组织开展党组理论中心组学习11次、局班子专题学习11次，党员集中学习11次，党员撰写心得体会50多篇，报送相关稿件30余篇。二是有效促进行业健康发展，协调处理外观破损修复20处，处理掉画与褶皱66处，清洁牛皮癣小广告432处，清洗站牌380块，维护维修站牌198块，更换破损褪色公交站贴216条，更换褪色公益98幅；定期组织人员走访货运源头企业、维修企业，约谈企业负责人和环保负责人，开展主题宣传3次，发放资料200余份，有力提升企业从业人员的环保意识。三是有力推进农村公路建养管，从2022年度区级农村公路养护经费中列支305万元作为日常养护专项费用，保障全区511.67公里农村公路的日常养护。四是全面压实安全监管排查，制定《开福区道路运输行业联合执法行动方案》，牵头对存在较大安全隐患企业，开展联合执法行动。</w:t>
            </w:r>
            <w:r>
              <w:rPr>
                <w:rFonts w:hint="eastAsia"/>
                <w:color w:val="000000"/>
                <w:kern w:val="0"/>
                <w:sz w:val="21"/>
                <w:szCs w:val="21"/>
                <w:lang w:val="en-US" w:eastAsia="zh-CN"/>
              </w:rPr>
              <w:t>2022</w:t>
            </w:r>
            <w:r>
              <w:rPr>
                <w:rFonts w:hint="eastAsia" w:eastAsia="仿宋_GB2312"/>
                <w:color w:val="000000"/>
                <w:kern w:val="0"/>
                <w:sz w:val="21"/>
                <w:szCs w:val="21"/>
              </w:rPr>
              <w:t>年以来，共联合其他部门开展各类联合执法82次，对100家运输企业（个人）开展约谈，通过常态化联合执法和警示约谈，进一步压实企业安全生产主体责任，减少安全事故发生。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9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38"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组织开展党组理论中心组学习</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10次</w:t>
            </w:r>
          </w:p>
        </w:tc>
        <w:tc>
          <w:tcPr>
            <w:tcW w:w="9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11次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开展主题宣传</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3次</w:t>
            </w:r>
          </w:p>
        </w:tc>
        <w:tc>
          <w:tcPr>
            <w:tcW w:w="9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3次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rPr>
              <w:t>农村公路</w:t>
            </w:r>
            <w:r>
              <w:rPr>
                <w:rFonts w:hint="eastAsia"/>
                <w:color w:val="000000"/>
                <w:kern w:val="0"/>
                <w:sz w:val="21"/>
                <w:szCs w:val="21"/>
                <w:lang w:val="en-US" w:eastAsia="zh-CN"/>
              </w:rPr>
              <w:t>日常养护</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500公里</w:t>
            </w:r>
          </w:p>
        </w:tc>
        <w:tc>
          <w:tcPr>
            <w:tcW w:w="9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511.67公里</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开展各类联合执法</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80次</w:t>
            </w:r>
          </w:p>
        </w:tc>
        <w:tc>
          <w:tcPr>
            <w:tcW w:w="9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82次</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公路管理工作经费达标率</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hint="eastAsia" w:eastAsia="仿宋_GB2312"/>
                <w:color w:val="000000"/>
                <w:kern w:val="0"/>
                <w:sz w:val="21"/>
                <w:szCs w:val="21"/>
              </w:rPr>
              <w:t>保障全区道路运输企业安全教育培训宣传到位</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年底前完成</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tc>
        <w:tc>
          <w:tcPr>
            <w:tcW w:w="144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成本控制率</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4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eastAsia="仿宋_GB2312"/>
                <w:color w:val="000000"/>
                <w:kern w:val="0"/>
                <w:sz w:val="21"/>
                <w:szCs w:val="21"/>
              </w:rPr>
            </w:pPr>
            <w:r>
              <w:rPr>
                <w:rFonts w:eastAsia="仿宋_GB2312"/>
                <w:color w:val="000000"/>
                <w:kern w:val="0"/>
                <w:sz w:val="21"/>
                <w:szCs w:val="21"/>
              </w:rPr>
              <w:t>（30分）　</w:t>
            </w:r>
          </w:p>
        </w:tc>
        <w:tc>
          <w:tcPr>
            <w:tcW w:w="1016"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44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保障执法工作正常运转</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有效保障</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有效保障</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95"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1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445"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长效管理机制健全性</w:t>
            </w:r>
          </w:p>
        </w:tc>
        <w:tc>
          <w:tcPr>
            <w:tcW w:w="9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健全</w:t>
            </w:r>
          </w:p>
        </w:tc>
        <w:tc>
          <w:tcPr>
            <w:tcW w:w="9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健全</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44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服务对象满意度</w:t>
            </w:r>
          </w:p>
        </w:tc>
        <w:tc>
          <w:tcPr>
            <w:tcW w:w="96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≥90%</w:t>
            </w:r>
          </w:p>
        </w:tc>
        <w:tc>
          <w:tcPr>
            <w:tcW w:w="94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　</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　</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42" w:type="dxa"/>
            <w:gridSpan w:val="7"/>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4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98.76</w:t>
            </w:r>
          </w:p>
        </w:tc>
        <w:tc>
          <w:tcPr>
            <w:tcW w:w="123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widowControl/>
        <w:jc w:val="left"/>
        <w:rPr>
          <w:rFonts w:eastAsia="黑体"/>
          <w:sz w:val="32"/>
          <w:szCs w:val="3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hint="default" w:eastAsia="黑体"/>
          <w:sz w:val="32"/>
          <w:szCs w:val="32"/>
          <w:lang w:val="en-US" w:eastAsia="zh-CN"/>
        </w:rPr>
      </w:pPr>
      <w:r>
        <w:rPr>
          <w:rFonts w:eastAsia="黑体"/>
          <w:sz w:val="32"/>
          <w:szCs w:val="32"/>
        </w:rPr>
        <w:br w:type="page"/>
      </w:r>
      <w:bookmarkStart w:id="0" w:name="_GoBack"/>
      <w:r>
        <w:rPr>
          <w:rFonts w:eastAsia="黑体"/>
          <w:sz w:val="32"/>
          <w:szCs w:val="32"/>
        </w:rPr>
        <w:t>附件4</w:t>
      </w:r>
      <w:r>
        <w:rPr>
          <w:rFonts w:hint="eastAsia" w:eastAsia="黑体"/>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085"/>
        <w:gridCol w:w="967"/>
        <w:gridCol w:w="1066"/>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　</w:t>
            </w:r>
            <w:r>
              <w:rPr>
                <w:rFonts w:eastAsia="仿宋_GB2312"/>
                <w:kern w:val="0"/>
                <w:sz w:val="21"/>
                <w:szCs w:val="21"/>
              </w:rPr>
              <w:t>业务工作经费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2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6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14.00</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11.98</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85.57%</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11.98</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2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4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2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eastAsia="仿宋_GB2312"/>
                <w:color w:val="000000"/>
                <w:kern w:val="0"/>
                <w:sz w:val="21"/>
                <w:szCs w:val="21"/>
                <w:lang w:eastAsia="zh-CN"/>
              </w:rPr>
            </w:pPr>
            <w:r>
              <w:rPr>
                <w:rFonts w:hint="eastAsia"/>
                <w:color w:val="000000"/>
                <w:kern w:val="0"/>
                <w:sz w:val="21"/>
                <w:szCs w:val="21"/>
                <w:lang w:val="en-US" w:eastAsia="zh-CN"/>
              </w:rPr>
              <w:t>一是</w:t>
            </w:r>
            <w:r>
              <w:rPr>
                <w:rFonts w:hint="eastAsia" w:eastAsia="仿宋_GB2312"/>
                <w:color w:val="000000"/>
                <w:kern w:val="0"/>
                <w:sz w:val="21"/>
                <w:szCs w:val="21"/>
                <w:lang w:eastAsia="zh-CN"/>
              </w:rPr>
              <w:t>规范引导汽修行业发展</w:t>
            </w:r>
            <w:r>
              <w:rPr>
                <w:rFonts w:hint="eastAsia"/>
                <w:color w:val="000000"/>
                <w:kern w:val="0"/>
                <w:sz w:val="21"/>
                <w:szCs w:val="21"/>
                <w:lang w:eastAsia="zh-CN"/>
              </w:rPr>
              <w:t>，</w:t>
            </w:r>
            <w:r>
              <w:rPr>
                <w:rFonts w:hint="eastAsia" w:eastAsia="仿宋_GB2312"/>
                <w:color w:val="000000"/>
                <w:kern w:val="0"/>
                <w:sz w:val="21"/>
                <w:szCs w:val="21"/>
                <w:lang w:eastAsia="zh-CN"/>
              </w:rPr>
              <w:t>在日常监管上下功夫。严格落实“三级两巡”制度，严格执行“蓝天保卫战”要求，会同环保部门对辖区维修企业开展检查，定期查看企业环保制度制定和落实情况，检查危险品、废弃物分类处理和汽车喷漆作业情况。二是扎实开展道路运输违法行为联合执法行动</w:t>
            </w:r>
            <w:r>
              <w:rPr>
                <w:rFonts w:hint="eastAsia"/>
                <w:color w:val="000000"/>
                <w:kern w:val="0"/>
                <w:sz w:val="21"/>
                <w:szCs w:val="21"/>
                <w:lang w:eastAsia="zh-CN"/>
              </w:rPr>
              <w:t>，</w:t>
            </w:r>
            <w:r>
              <w:rPr>
                <w:rFonts w:hint="eastAsia" w:eastAsia="仿宋_GB2312"/>
                <w:color w:val="000000"/>
                <w:kern w:val="0"/>
                <w:sz w:val="21"/>
                <w:szCs w:val="21"/>
                <w:lang w:eastAsia="zh-CN"/>
              </w:rPr>
              <w:t>联合其他部门开展各类联合执法8</w:t>
            </w:r>
            <w:r>
              <w:rPr>
                <w:rFonts w:hint="eastAsia"/>
                <w:color w:val="000000"/>
                <w:kern w:val="0"/>
                <w:sz w:val="21"/>
                <w:szCs w:val="21"/>
                <w:lang w:val="en-US" w:eastAsia="zh-CN"/>
              </w:rPr>
              <w:t>0余</w:t>
            </w:r>
            <w:r>
              <w:rPr>
                <w:rFonts w:hint="eastAsia" w:eastAsia="仿宋_GB2312"/>
                <w:color w:val="000000"/>
                <w:kern w:val="0"/>
                <w:sz w:val="21"/>
                <w:szCs w:val="21"/>
                <w:lang w:eastAsia="zh-CN"/>
              </w:rPr>
              <w:t>次，对100家运输企业（个人）开展约谈，通过常态化联合执法和警示约谈，进一步压实企业安全生产主体责任，减少安全事故发生。</w:t>
            </w:r>
          </w:p>
        </w:tc>
        <w:tc>
          <w:tcPr>
            <w:tcW w:w="454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color w:val="000000"/>
                <w:kern w:val="0"/>
                <w:sz w:val="21"/>
                <w:szCs w:val="21"/>
                <w:lang w:val="en-US" w:eastAsia="zh-CN"/>
              </w:rPr>
              <w:t>一是</w:t>
            </w:r>
            <w:r>
              <w:rPr>
                <w:rFonts w:hint="eastAsia" w:eastAsia="仿宋_GB2312"/>
                <w:color w:val="000000"/>
                <w:kern w:val="0"/>
                <w:sz w:val="21"/>
                <w:szCs w:val="21"/>
                <w:lang w:eastAsia="zh-CN"/>
              </w:rPr>
              <w:t>规范引导汽修行业发展</w:t>
            </w:r>
            <w:r>
              <w:rPr>
                <w:rFonts w:hint="eastAsia"/>
                <w:color w:val="000000"/>
                <w:kern w:val="0"/>
                <w:sz w:val="21"/>
                <w:szCs w:val="21"/>
                <w:lang w:eastAsia="zh-CN"/>
              </w:rPr>
              <w:t>，</w:t>
            </w:r>
            <w:r>
              <w:rPr>
                <w:rFonts w:hint="eastAsia" w:eastAsia="仿宋_GB2312"/>
                <w:color w:val="000000"/>
                <w:kern w:val="0"/>
                <w:sz w:val="21"/>
                <w:szCs w:val="21"/>
                <w:lang w:eastAsia="zh-CN"/>
              </w:rPr>
              <w:t>在日常监管上下功夫。严格落实“三级两巡”制度，严格执行“蓝天保卫战”要求，会同环保部门对辖区维修企业开展检查，定期查看企业环保制度制定和落实情况，检查危险品、废弃物分类处理和汽车喷漆作业情况。二是扎实开展道路运输违法行为联合执法行动。制定《开福区道路运输行业联合执法行动方案》，牵头对存在较大安全隐患企业，开展联合执法行动。</w:t>
            </w:r>
            <w:r>
              <w:rPr>
                <w:rFonts w:hint="eastAsia"/>
                <w:color w:val="000000"/>
                <w:kern w:val="0"/>
                <w:sz w:val="21"/>
                <w:szCs w:val="21"/>
                <w:lang w:val="en-US" w:eastAsia="zh-CN"/>
              </w:rPr>
              <w:t>2022</w:t>
            </w:r>
            <w:r>
              <w:rPr>
                <w:rFonts w:hint="eastAsia" w:eastAsia="仿宋_GB2312"/>
                <w:color w:val="000000"/>
                <w:kern w:val="0"/>
                <w:sz w:val="21"/>
                <w:szCs w:val="21"/>
                <w:lang w:eastAsia="zh-CN"/>
              </w:rPr>
              <w:t>年以来，共联合其他部门开展各类联合执法82次，对100家运输企业（个人）开展约谈，通过常态化联合执法和警示约谈，进一步压实企业安全生产主体责任，减少安全事故发生</w:t>
            </w:r>
            <w:r>
              <w:rPr>
                <w:rFonts w:hint="eastAsia"/>
                <w:color w:val="000000"/>
                <w:kern w:val="0"/>
                <w:sz w:val="21"/>
                <w:szCs w:val="21"/>
                <w:lang w:eastAsia="zh-CN"/>
              </w:rPr>
              <w:t>；</w:t>
            </w:r>
            <w:r>
              <w:rPr>
                <w:rFonts w:hint="eastAsia" w:eastAsia="仿宋_GB2312"/>
                <w:color w:val="000000"/>
                <w:kern w:val="0"/>
                <w:sz w:val="21"/>
                <w:szCs w:val="21"/>
                <w:lang w:eastAsia="zh-CN"/>
              </w:rPr>
              <w:t>抓好“两客一危”企业安全监管</w:t>
            </w:r>
            <w:r>
              <w:rPr>
                <w:rFonts w:hint="eastAsia"/>
                <w:color w:val="000000"/>
                <w:kern w:val="0"/>
                <w:sz w:val="21"/>
                <w:szCs w:val="21"/>
                <w:lang w:eastAsia="zh-CN"/>
              </w:rPr>
              <w:t>，</w:t>
            </w:r>
            <w:r>
              <w:rPr>
                <w:rFonts w:hint="eastAsia" w:eastAsia="仿宋_GB2312"/>
                <w:color w:val="000000"/>
                <w:kern w:val="0"/>
                <w:sz w:val="21"/>
                <w:szCs w:val="21"/>
                <w:lang w:eastAsia="zh-CN"/>
              </w:rPr>
              <w:t>深刻吸取望城区“4·29”特别重大居民自建房倒塌事故教训，针对我区“两客一危”企业较多实际，我局与区交警大队建立常态化联合检查机制，通过日常联合检查，增进部门间沟通交流，形成安全监管检查合力，提升“两客一危”企业安全生产管理水平，共同守住重点运输企业不发生事故底线</w:t>
            </w:r>
            <w:r>
              <w:rPr>
                <w:rFonts w:hint="eastAsia"/>
                <w:color w:val="000000"/>
                <w:kern w:val="0"/>
                <w:sz w:val="21"/>
                <w:szCs w:val="21"/>
                <w:lang w:eastAsia="zh-CN"/>
              </w:rPr>
              <w:t>；</w:t>
            </w:r>
            <w:r>
              <w:rPr>
                <w:rFonts w:hint="eastAsia" w:eastAsia="仿宋_GB2312"/>
                <w:color w:val="000000"/>
                <w:kern w:val="0"/>
                <w:sz w:val="21"/>
                <w:szCs w:val="21"/>
                <w:lang w:eastAsia="zh-CN"/>
              </w:rPr>
              <w:t>加快建设开福区道路运输智慧监管平台。利用大数据监管手段，掌握企业经营资质、经营范围、从业人员、车辆情况、日常安全管理等信息，推进安全监管职能化建设，有效提升对行业企业安全生产监管的效率，培养企业安全管理习惯，降低企业生产安全事故发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开展</w:t>
            </w:r>
            <w:r>
              <w:rPr>
                <w:rFonts w:hint="eastAsia" w:eastAsia="仿宋_GB2312"/>
                <w:color w:val="000000"/>
                <w:kern w:val="0"/>
                <w:sz w:val="21"/>
                <w:szCs w:val="21"/>
                <w:lang w:eastAsia="zh-CN"/>
              </w:rPr>
              <w:t>联合执法行动</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eastAsia="zh-CN"/>
              </w:rPr>
              <w:t>8</w:t>
            </w:r>
            <w:r>
              <w:rPr>
                <w:rFonts w:hint="eastAsia"/>
                <w:color w:val="000000"/>
                <w:kern w:val="0"/>
                <w:sz w:val="21"/>
                <w:szCs w:val="21"/>
                <w:lang w:val="en-US" w:eastAsia="zh-CN"/>
              </w:rPr>
              <w:t>0余</w:t>
            </w:r>
            <w:r>
              <w:rPr>
                <w:rFonts w:hint="eastAsia" w:eastAsia="仿宋_GB2312"/>
                <w:color w:val="000000"/>
                <w:kern w:val="0"/>
                <w:sz w:val="21"/>
                <w:szCs w:val="21"/>
                <w:lang w:eastAsia="zh-CN"/>
              </w:rPr>
              <w:t>次</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eastAsia="zh-CN"/>
              </w:rPr>
              <w:t>82次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开展约谈</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eastAsia="zh-CN"/>
              </w:rPr>
              <w:t>100家运输企业（个人）</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eastAsia="zh-CN"/>
              </w:rPr>
              <w:t>100家运输企业（个人）</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执法行动达标率</w:t>
            </w:r>
          </w:p>
        </w:tc>
        <w:tc>
          <w:tcPr>
            <w:tcW w:w="9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年底前完成</w:t>
            </w:r>
          </w:p>
        </w:tc>
        <w:tc>
          <w:tcPr>
            <w:tcW w:w="9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成本控制率</w:t>
            </w:r>
          </w:p>
        </w:tc>
        <w:tc>
          <w:tcPr>
            <w:tcW w:w="9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0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0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提高全民安全意识</w:t>
            </w:r>
          </w:p>
        </w:tc>
        <w:tc>
          <w:tcPr>
            <w:tcW w:w="96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有效提高</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有效提高</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预防企业出现安全隐患等事故</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有效预防</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有效预防</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08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eastAsia="仿宋_GB2312"/>
                <w:color w:val="000000"/>
                <w:kern w:val="0"/>
                <w:sz w:val="21"/>
                <w:szCs w:val="21"/>
                <w:lang w:eastAsia="zh-CN"/>
              </w:rPr>
              <w:t>运输企业（个人）</w:t>
            </w:r>
            <w:r>
              <w:rPr>
                <w:rFonts w:hint="eastAsia"/>
                <w:color w:val="000000"/>
                <w:kern w:val="0"/>
                <w:sz w:val="21"/>
                <w:szCs w:val="21"/>
                <w:lang w:val="en-US" w:eastAsia="zh-CN"/>
              </w:rPr>
              <w:t>满意度</w:t>
            </w:r>
          </w:p>
        </w:tc>
        <w:tc>
          <w:tcPr>
            <w:tcW w:w="96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106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98.56</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eastAsia="仿宋_GB2312"/>
          <w:kern w:val="0"/>
          <w:sz w:val="22"/>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277"/>
        <w:gridCol w:w="891"/>
        <w:gridCol w:w="950"/>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安全整治专项经费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3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5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28.50</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28.50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28.50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28.50</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3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2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34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eastAsia="仿宋_GB2312"/>
                <w:color w:val="000000"/>
                <w:kern w:val="0"/>
                <w:sz w:val="21"/>
                <w:szCs w:val="21"/>
                <w:lang w:eastAsia="zh-CN"/>
              </w:rPr>
            </w:pPr>
            <w:r>
              <w:rPr>
                <w:rFonts w:hint="eastAsia" w:eastAsia="仿宋_GB2312"/>
                <w:color w:val="000000"/>
                <w:kern w:val="0"/>
                <w:sz w:val="21"/>
                <w:szCs w:val="21"/>
              </w:rPr>
              <w:t>加强顽瘴痼疾和铁路安全环境整治</w:t>
            </w:r>
            <w:r>
              <w:rPr>
                <w:rFonts w:hint="eastAsia"/>
                <w:color w:val="000000"/>
                <w:kern w:val="0"/>
                <w:sz w:val="21"/>
                <w:szCs w:val="21"/>
                <w:lang w:eastAsia="zh-CN"/>
              </w:rPr>
              <w:t>，牵头组织青竹湖街道等8个涉铁街道组织召开铁路沿线安全隐患大排查工作部署会，并组织辖区基层26名三级段长，开展“加强路地协调联动，深化铁路安全环境整治”专题培训，要求各街道要全面排查铁路沿线各类安全隐患和风险，及时处置和反馈排查整治情况，确保我区铁路运输安全稳定。</w:t>
            </w:r>
          </w:p>
        </w:tc>
        <w:tc>
          <w:tcPr>
            <w:tcW w:w="442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加强顽瘴痼疾和铁路安全环境整治</w:t>
            </w:r>
            <w:r>
              <w:rPr>
                <w:rFonts w:hint="eastAsia"/>
                <w:color w:val="000000"/>
                <w:kern w:val="0"/>
                <w:sz w:val="21"/>
                <w:szCs w:val="21"/>
                <w:lang w:eastAsia="zh-CN"/>
              </w:rPr>
              <w:t>，牵头组织青竹湖街道等8个涉铁街道组织召开铁路沿线安全隐患大排查工作部署会，并在6月份组织辖区基层26名三级段长，开展“加强路地协调联动，深化铁路安全环境整治”专题培训，要求各街道要全面排查铁路沿线各类安全隐患和风险，及时处置和反馈排查整治情况，确保我区铁路运输安全稳定。</w:t>
            </w:r>
            <w:r>
              <w:rPr>
                <w:rFonts w:hint="eastAsia"/>
                <w:color w:val="000000"/>
                <w:kern w:val="0"/>
                <w:sz w:val="21"/>
                <w:szCs w:val="21"/>
                <w:lang w:val="en-US" w:eastAsia="zh-CN"/>
              </w:rPr>
              <w:t>2022</w:t>
            </w:r>
            <w:r>
              <w:rPr>
                <w:rFonts w:hint="eastAsia"/>
                <w:color w:val="000000"/>
                <w:kern w:val="0"/>
                <w:sz w:val="21"/>
                <w:szCs w:val="21"/>
                <w:lang w:eastAsia="zh-CN"/>
              </w:rPr>
              <w:t>年以来，涉铁街道共排查整治隐患109处，共投入整治资金63万余元，57处报湖南省铁路安全隐患综合治理指挥部处理。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安全教育培训</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w:t>
            </w:r>
            <w:r>
              <w:rPr>
                <w:rFonts w:hint="eastAsia" w:ascii="Times New Roman" w:hAnsi="Times New Roman" w:cs="Times New Roman"/>
                <w:color w:val="000000"/>
                <w:kern w:val="0"/>
                <w:sz w:val="21"/>
                <w:szCs w:val="21"/>
                <w:lang w:val="en-US" w:eastAsia="zh-CN"/>
              </w:rPr>
              <w:t>次</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w:t>
            </w:r>
            <w:r>
              <w:rPr>
                <w:rFonts w:hint="eastAsia" w:ascii="Times New Roman" w:hAnsi="Times New Roman" w:cs="Times New Roman"/>
                <w:color w:val="000000"/>
                <w:kern w:val="0"/>
                <w:sz w:val="21"/>
                <w:szCs w:val="21"/>
                <w:lang w:val="en-US" w:eastAsia="zh-CN"/>
              </w:rPr>
              <w:t>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保障全区道路运输企业安全教育培训宣传到位</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安全整治专项经费达标率</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安全整治专项经费使用及时率</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安全教育培训完成及时率</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100%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成本</w:t>
            </w:r>
            <w:r>
              <w:rPr>
                <w:rFonts w:hint="eastAsia" w:ascii="Times New Roman" w:hAnsi="Times New Roman" w:eastAsia="仿宋_GB2312" w:cs="Times New Roman"/>
                <w:color w:val="000000"/>
                <w:kern w:val="0"/>
                <w:sz w:val="21"/>
                <w:szCs w:val="21"/>
                <w:lang w:val="en-US" w:eastAsia="zh-CN"/>
              </w:rPr>
              <w:t>控制</w:t>
            </w:r>
            <w:r>
              <w:rPr>
                <w:rFonts w:hint="eastAsia" w:ascii="Times New Roman" w:hAnsi="Times New Roman" w:eastAsia="仿宋_GB2312" w:cs="Times New Roman"/>
                <w:color w:val="000000"/>
                <w:kern w:val="0"/>
                <w:sz w:val="21"/>
                <w:szCs w:val="21"/>
              </w:rPr>
              <w:t>率</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专项经费管理机制健全性</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健全</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健全</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安全教育培训提高全民安全意识，预防企业出现安全隐患等事故</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有效提高</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有效提高</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27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居民，道路运输企业满意度</w:t>
            </w:r>
          </w:p>
        </w:tc>
        <w:tc>
          <w:tcPr>
            <w:tcW w:w="89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≥90%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95%</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pStyle w:val="5"/>
        <w:rPr>
          <w:rFonts w:eastAsia="黑体"/>
          <w:sz w:val="32"/>
          <w:szCs w:val="32"/>
        </w:rPr>
      </w:pPr>
    </w:p>
    <w:p>
      <w:pPr>
        <w:pStyle w:val="6"/>
        <w:rPr>
          <w:rFonts w:eastAsia="黑体"/>
          <w:sz w:val="32"/>
          <w:szCs w:val="32"/>
        </w:rPr>
      </w:pPr>
    </w:p>
    <w:p>
      <w:pPr>
        <w:pStyle w:val="6"/>
        <w:rPr>
          <w:rFonts w:eastAsia="黑体"/>
          <w:sz w:val="32"/>
          <w:szCs w:val="32"/>
        </w:rPr>
      </w:pPr>
    </w:p>
    <w:p>
      <w:pPr>
        <w:pStyle w:val="6"/>
        <w:rPr>
          <w:rFonts w:eastAsia="黑体"/>
          <w:sz w:val="32"/>
          <w:szCs w:val="32"/>
        </w:rPr>
      </w:pPr>
    </w:p>
    <w:p>
      <w:pPr>
        <w:pStyle w:val="6"/>
        <w:rPr>
          <w:rFonts w:eastAsia="黑体"/>
          <w:sz w:val="32"/>
          <w:szCs w:val="32"/>
        </w:rPr>
      </w:pPr>
    </w:p>
    <w:p>
      <w:pPr>
        <w:pStyle w:val="6"/>
        <w:rPr>
          <w:rFonts w:eastAsia="黑体"/>
          <w:sz w:val="32"/>
          <w:szCs w:val="32"/>
        </w:rPr>
      </w:pPr>
    </w:p>
    <w:p>
      <w:pPr>
        <w:pStyle w:val="6"/>
        <w:rPr>
          <w:rFonts w:eastAsia="黑体"/>
          <w:sz w:val="32"/>
          <w:szCs w:val="32"/>
        </w:rPr>
      </w:pPr>
    </w:p>
    <w:p>
      <w:pPr>
        <w:widowControl/>
        <w:jc w:val="left"/>
        <w:rPr>
          <w:rFonts w:eastAsia="黑体"/>
          <w:sz w:val="32"/>
          <w:szCs w:val="32"/>
        </w:rPr>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-3</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110"/>
        <w:gridCol w:w="874"/>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农村公路</w:t>
            </w:r>
            <w:r>
              <w:rPr>
                <w:rFonts w:hint="eastAsia"/>
                <w:kern w:val="0"/>
                <w:sz w:val="21"/>
                <w:szCs w:val="21"/>
                <w:lang w:val="en-US" w:eastAsia="zh-CN"/>
              </w:rPr>
              <w:t>建设及</w:t>
            </w:r>
            <w:r>
              <w:rPr>
                <w:rFonts w:hint="eastAsia" w:eastAsia="仿宋_GB2312"/>
                <w:kern w:val="0"/>
                <w:sz w:val="21"/>
                <w:szCs w:val="21"/>
              </w:rPr>
              <w:t>养护经费</w:t>
            </w:r>
            <w:r>
              <w:rPr>
                <w:rFonts w:hint="eastAsia"/>
                <w:kern w:val="0"/>
                <w:sz w:val="21"/>
                <w:szCs w:val="21"/>
                <w:lang w:eastAsia="zh-CN"/>
              </w:rPr>
              <w:t>（</w:t>
            </w:r>
            <w:r>
              <w:rPr>
                <w:rFonts w:hint="eastAsia"/>
                <w:kern w:val="0"/>
                <w:sz w:val="21"/>
                <w:szCs w:val="21"/>
                <w:lang w:val="en-US" w:eastAsia="zh-CN"/>
              </w:rPr>
              <w:t>含上级补助资金</w:t>
            </w:r>
            <w:r>
              <w:rPr>
                <w:rFonts w:hint="eastAsia"/>
                <w:kern w:val="0"/>
                <w:sz w:val="21"/>
                <w:szCs w:val="21"/>
                <w:lang w:eastAsia="zh-CN"/>
              </w:rPr>
              <w:t>）</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755.00</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940.27</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611.98</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65.09%</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318.13</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293.85</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ascii="Times New Roman" w:hAnsi="Times New Roman" w:eastAsia="仿宋_GB2312" w:cs="Times New Roman"/>
                <w:color w:val="000000"/>
                <w:kern w:val="0"/>
                <w:sz w:val="21"/>
                <w:szCs w:val="21"/>
                <w:lang w:val="en-US" w:eastAsia="zh-CN"/>
              </w:rPr>
              <w:t>有力推进</w:t>
            </w:r>
            <w:r>
              <w:rPr>
                <w:rFonts w:hint="eastAsia" w:ascii="Times New Roman" w:hAnsi="Times New Roman" w:eastAsia="仿宋_GB2312" w:cs="Times New Roman"/>
                <w:color w:val="000000"/>
                <w:kern w:val="0"/>
                <w:sz w:val="21"/>
                <w:szCs w:val="21"/>
              </w:rPr>
              <w:t>农村公路建养管</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lang w:val="en-US" w:eastAsia="zh-CN"/>
              </w:rPr>
              <w:t>一是根据乡村振兴战略和区委区政府下达的《2022年开福区重大项目投资计划》，开福区交通运输局2022年重点推进4个农村公路建设项目。二是坚持深化农村公路养护体制改革，从2022年度区级农村公路养护经费中列支305万元作为日常养护专项费用，保障全区511.67公里农村公路的日常养护；对黄乌线（X039）汉回段约520米路段进行大修，并对我区养护系统内破损严重的10条村组公路进行路面中修，对省厅考核检测线路中约18公里农村公路实施重点养护。三是全面推行农村公路“路长制”，将路长制与养护工作有效结合，我区511.67公里农村公路（县道、乡道、村道）100%全部纳入“路长制“工作范围，排查发现道路安全隐患，整治重点路段安全隐患。</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000000"/>
                <w:kern w:val="0"/>
                <w:sz w:val="21"/>
                <w:szCs w:val="21"/>
              </w:rPr>
              <w:t>　</w:t>
            </w:r>
            <w:r>
              <w:rPr>
                <w:rFonts w:hint="eastAsia" w:ascii="Times New Roman" w:hAnsi="Times New Roman" w:eastAsia="仿宋_GB2312" w:cs="Times New Roman"/>
                <w:color w:val="000000"/>
                <w:kern w:val="0"/>
                <w:sz w:val="21"/>
                <w:szCs w:val="21"/>
                <w:lang w:val="en-US" w:eastAsia="zh-CN"/>
              </w:rPr>
              <w:t>有力推进</w:t>
            </w:r>
            <w:r>
              <w:rPr>
                <w:rFonts w:hint="eastAsia" w:ascii="Times New Roman" w:hAnsi="Times New Roman" w:eastAsia="仿宋_GB2312" w:cs="Times New Roman"/>
                <w:color w:val="000000"/>
                <w:kern w:val="0"/>
                <w:sz w:val="21"/>
                <w:szCs w:val="21"/>
              </w:rPr>
              <w:t>农村公路建养管</w:t>
            </w:r>
            <w:r>
              <w:rPr>
                <w:rFonts w:hint="eastAsia" w:ascii="Times New Roman" w:hAnsi="Times New Roman" w:cs="Times New Roman"/>
                <w:color w:val="000000"/>
                <w:kern w:val="0"/>
                <w:sz w:val="21"/>
                <w:szCs w:val="21"/>
                <w:lang w:eastAsia="zh-CN"/>
              </w:rPr>
              <w:t>，</w:t>
            </w:r>
            <w:r>
              <w:rPr>
                <w:rFonts w:hint="eastAsia" w:ascii="Times New Roman" w:hAnsi="Times New Roman" w:cs="Times New Roman"/>
                <w:color w:val="000000"/>
                <w:kern w:val="0"/>
                <w:sz w:val="21"/>
                <w:szCs w:val="21"/>
                <w:lang w:val="en-US" w:eastAsia="zh-CN"/>
              </w:rPr>
              <w:t>一是根据乡村振兴战略和区委区政府下达的《2022年开福区重大项目投资计划》，开福区交通运输局2022年重点推进4个农村公路建设项目。二是坚持深化农村公路养护体制改革，从2022年度区级农村公路养护经费中列支305万元作为日常养护专项费用，保障全区511.67公里农村公路的日常养护。共投入资金326万元对黄乌线（X039）汉回段约520米路段进行大修，并对我区养护系统内破损严重的10条村组公路进行路面中修，对省厅考核检测线路中约18公里农村公路实施重点养护。三是全面推行农村公路“路长制”，将路长制与养护工作有效结合，我区511.67公里农村公路（县道、乡道、村道）100%全部纳入“路长制“工作范围，对各级路长、分路长和路管员进行培训，构建长效闭环的监管体系；扎实开展农村公路整治，排查发现道路安全隐患76处，均已及时整治到位；共投入资金29.6万元，采用工程性措施完成9处重点路段安全隐患整治，通过应急工程，投入资金63万元对青竹湖街道太阳山社区、金霞新村社区、沙坪街道沙坪社区等水毁隐患路段进行整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重点推进农村公路建设项目</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4个</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4个</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完成农村公路建设</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color w:val="00000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农村公路纳入“路长制“工作范围</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项目验收质量达标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保持路基完好，路面整洁、平整、排水设施通畅</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511.67公里</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511.67公里</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县道养护完成及率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乡道养护完成及率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农村公路管理工作经费使用及时率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成本控制率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农村公路建设方面实现当年农村公路村村通、组组通的目标</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完善交通路网，改善区域路网路况</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有效改善</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有效改善</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居（村）民满意度</w:t>
            </w:r>
          </w:p>
        </w:tc>
        <w:tc>
          <w:tcPr>
            <w:tcW w:w="8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≥90%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96.51</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102"/>
        <w:gridCol w:w="890"/>
        <w:gridCol w:w="1126"/>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市驻区交通执法大队专项经费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6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2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427.00</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62.16</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53.31</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85.76%</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eastAsia="仿宋_GB2312" w:cs="Times New Roman"/>
                <w:color w:val="000000"/>
                <w:kern w:val="0"/>
                <w:sz w:val="21"/>
                <w:szCs w:val="21"/>
                <w:lang w:val="en-US" w:eastAsia="zh-CN"/>
              </w:rPr>
              <w:t>53.31</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6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0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6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保障市驻区交通执法大队</w:t>
            </w:r>
            <w:r>
              <w:rPr>
                <w:rFonts w:hint="eastAsia"/>
                <w:color w:val="000000"/>
                <w:kern w:val="0"/>
                <w:sz w:val="21"/>
                <w:szCs w:val="21"/>
                <w:lang w:val="en-US" w:eastAsia="zh-CN"/>
              </w:rPr>
              <w:t>20名</w:t>
            </w:r>
            <w:r>
              <w:rPr>
                <w:rFonts w:hint="eastAsia" w:eastAsia="仿宋_GB2312"/>
                <w:color w:val="000000"/>
                <w:kern w:val="0"/>
                <w:sz w:val="21"/>
                <w:szCs w:val="21"/>
                <w:lang w:eastAsia="zh-CN"/>
              </w:rPr>
              <w:t>聘用人员经费、“治超”配套场所服务外包费用，</w:t>
            </w:r>
            <w:r>
              <w:rPr>
                <w:rFonts w:hint="eastAsia" w:eastAsia="仿宋_GB2312"/>
                <w:color w:val="000000"/>
                <w:kern w:val="0"/>
                <w:sz w:val="21"/>
                <w:szCs w:val="21"/>
              </w:rPr>
              <w:t>执法车辆租赁费及燃油费用</w:t>
            </w:r>
            <w:r>
              <w:rPr>
                <w:rFonts w:hint="eastAsia"/>
                <w:color w:val="000000"/>
                <w:kern w:val="0"/>
                <w:sz w:val="21"/>
                <w:szCs w:val="21"/>
                <w:lang w:val="en-US" w:eastAsia="zh-CN"/>
              </w:rPr>
              <w:t>30万元</w:t>
            </w:r>
            <w:r>
              <w:rPr>
                <w:rFonts w:hint="eastAsia" w:eastAsia="仿宋_GB2312"/>
                <w:color w:val="000000"/>
                <w:kern w:val="0"/>
                <w:sz w:val="21"/>
                <w:szCs w:val="21"/>
                <w:lang w:eastAsia="zh-CN"/>
              </w:rPr>
              <w:t>及日常工作所需的办公易耗品、执法设备采购等</w:t>
            </w:r>
            <w:r>
              <w:rPr>
                <w:rFonts w:hint="eastAsia"/>
                <w:color w:val="000000"/>
                <w:kern w:val="0"/>
                <w:sz w:val="21"/>
                <w:szCs w:val="21"/>
                <w:lang w:eastAsia="zh-CN"/>
              </w:rPr>
              <w:t>。</w:t>
            </w:r>
          </w:p>
        </w:tc>
        <w:tc>
          <w:tcPr>
            <w:tcW w:w="460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eastAsia="仿宋_GB2312"/>
                <w:color w:val="000000"/>
                <w:kern w:val="0"/>
                <w:sz w:val="21"/>
                <w:szCs w:val="21"/>
                <w:lang w:eastAsia="zh-CN"/>
              </w:rPr>
            </w:pPr>
            <w:r>
              <w:rPr>
                <w:rFonts w:hint="eastAsia"/>
                <w:color w:val="000000"/>
                <w:kern w:val="0"/>
                <w:sz w:val="21"/>
                <w:szCs w:val="21"/>
                <w:lang w:val="en-US" w:eastAsia="zh-CN"/>
              </w:rPr>
              <w:t>有效</w:t>
            </w:r>
            <w:r>
              <w:rPr>
                <w:rFonts w:hint="eastAsia" w:eastAsia="仿宋_GB2312"/>
                <w:color w:val="000000"/>
                <w:kern w:val="0"/>
                <w:sz w:val="21"/>
                <w:szCs w:val="21"/>
                <w:lang w:eastAsia="zh-CN"/>
              </w:rPr>
              <w:t>保障市驻区交通执法大队</w:t>
            </w:r>
            <w:r>
              <w:rPr>
                <w:rFonts w:hint="eastAsia"/>
                <w:color w:val="000000"/>
                <w:kern w:val="0"/>
                <w:sz w:val="21"/>
                <w:szCs w:val="21"/>
                <w:lang w:val="en-US" w:eastAsia="zh-CN"/>
              </w:rPr>
              <w:t>20名</w:t>
            </w:r>
            <w:r>
              <w:rPr>
                <w:rFonts w:hint="eastAsia" w:eastAsia="仿宋_GB2312"/>
                <w:color w:val="000000"/>
                <w:kern w:val="0"/>
                <w:sz w:val="21"/>
                <w:szCs w:val="21"/>
                <w:lang w:eastAsia="zh-CN"/>
              </w:rPr>
              <w:t>聘用人员经费、“治超”配套场所服务外包费用，</w:t>
            </w:r>
            <w:r>
              <w:rPr>
                <w:rFonts w:hint="eastAsia" w:eastAsia="仿宋_GB2312"/>
                <w:color w:val="000000"/>
                <w:kern w:val="0"/>
                <w:sz w:val="21"/>
                <w:szCs w:val="21"/>
              </w:rPr>
              <w:t>执法车辆租赁费及燃油费用</w:t>
            </w:r>
            <w:r>
              <w:rPr>
                <w:rFonts w:hint="eastAsia"/>
                <w:color w:val="000000"/>
                <w:kern w:val="0"/>
                <w:sz w:val="21"/>
                <w:szCs w:val="21"/>
                <w:lang w:val="en-US" w:eastAsia="zh-CN"/>
              </w:rPr>
              <w:t>30万元</w:t>
            </w:r>
            <w:r>
              <w:rPr>
                <w:rFonts w:hint="eastAsia" w:eastAsia="仿宋_GB2312"/>
                <w:color w:val="000000"/>
                <w:kern w:val="0"/>
                <w:sz w:val="21"/>
                <w:szCs w:val="21"/>
                <w:lang w:eastAsia="zh-CN"/>
              </w:rPr>
              <w:t>及日常工作所需的办公易耗品、执法设备采购等</w:t>
            </w:r>
            <w:r>
              <w:rPr>
                <w:rFonts w:hint="eastAsia"/>
                <w:color w:val="000000"/>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rPr>
              <w:t>区聘工作人员工资、社保、伙食费等</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20名</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20名</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执法车辆租赁费及燃油验收合格率</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临聘人员资质达标率</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年底前完成</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成本控制率</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保障执法工作正常运转</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有效保障</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有效保障</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0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长效管理机制健全性</w:t>
            </w:r>
          </w:p>
        </w:tc>
        <w:tc>
          <w:tcPr>
            <w:tcW w:w="8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健全</w:t>
            </w:r>
          </w:p>
        </w:tc>
        <w:tc>
          <w:tcPr>
            <w:tcW w:w="112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健全</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0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w:t>
            </w:r>
          </w:p>
        </w:tc>
        <w:tc>
          <w:tcPr>
            <w:tcW w:w="89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112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98.58</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w:t>
      </w: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-5</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093"/>
        <w:gridCol w:w="949"/>
        <w:gridCol w:w="1076"/>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kern w:val="0"/>
                <w:sz w:val="21"/>
                <w:szCs w:val="21"/>
                <w:lang w:val="en-US" w:eastAsia="zh-CN"/>
              </w:rPr>
              <w:t>春节、端午节</w:t>
            </w:r>
            <w:r>
              <w:rPr>
                <w:rFonts w:hint="eastAsia" w:eastAsia="仿宋_GB2312"/>
                <w:kern w:val="0"/>
                <w:sz w:val="21"/>
                <w:szCs w:val="21"/>
                <w:lang w:val="en-US" w:eastAsia="zh-CN"/>
              </w:rPr>
              <w:t>节气资金</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1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7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年度资金总额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0</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770.88</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726.75</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kern w:val="0"/>
                <w:sz w:val="21"/>
                <w:szCs w:val="21"/>
                <w:lang w:val="en-US" w:eastAsia="zh-CN"/>
              </w:rPr>
              <w:t>94.28</w:t>
            </w:r>
            <w:r>
              <w:rPr>
                <w:rFonts w:hint="eastAsia" w:eastAsia="仿宋_GB2312"/>
                <w:kern w:val="0"/>
                <w:sz w:val="21"/>
                <w:szCs w:val="21"/>
              </w:rPr>
              <w:t>%</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cs="Times New Roman"/>
                <w:kern w:val="0"/>
                <w:sz w:val="21"/>
                <w:szCs w:val="21"/>
                <w:lang w:val="en-US" w:eastAsia="zh-CN"/>
              </w:rPr>
            </w:pPr>
            <w:r>
              <w:rPr>
                <w:rFonts w:hint="eastAsia" w:ascii="Times New Roman" w:hAnsi="Times New Roman" w:cs="Times New Roman"/>
                <w:kern w:val="0"/>
                <w:sz w:val="21"/>
                <w:szCs w:val="21"/>
                <w:lang w:val="en-US" w:eastAsia="zh-CN"/>
              </w:rPr>
              <w:t>726.75</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1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55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1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根据乡村振兴战略和区委区政府下达的《2022年开福区重大项目投资计划》，2022年重点推进农村公路建设项目：一是投资1200万元完成各涉农街道农村公路土路硬化、提质改造、路面大修等10.7公里新改建。二是投入655万元对沙坪街道4.433公里和青竹湖街道2.726公里美丽宜居村庄道路进行提质改造。三是投资1100万元对汉沙公路南延线全线5.1km续建项目进行“白改黑”提质改造，并完善沿线安保和排水设施。四是投入480万元推进开福区城乡公交村村通线路提质改造项目。</w:t>
            </w:r>
          </w:p>
        </w:tc>
        <w:tc>
          <w:tcPr>
            <w:tcW w:w="455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根据乡村振兴战略和区委区政府下达的《2022年开福区重大项目投资计划》，2022年重点推进农村公路建设项目：一是投资1200万元完成各涉农街道农村公路土路硬化、提质改造、路面大修等10.7公里新改建。二是投入655万元对沙坪街道4.433公里和青竹湖街道2.726公里美丽宜居村庄道路进行提质改造。三是投资1100万元对汉沙公路南延线全线5.1km续建项目进行“白改黑”提质改造，并完善沿线安保和排水设施。四是投入480万元推进开福区城乡公交村村通线路提质改造项目。以上建设项目，目前已完成80%的工程进度，确保年底前按时完成本年度的建设任务，进一步完善我区农村公路路网建设，提升我区美丽乡村建设农村公路的品质和推进乡村振兴的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完成各涉农街道农村公路土路硬化、提质改造、路面大修</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10.7公里</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10.7公里</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美丽宜居村庄道路进行提质改造</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7.159公里</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7.159公里</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“白改黑”提质改造，并完善沿线安保和排水设施</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5.1公里</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5.1公里</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城乡公交村村通线路提质改造项目</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投资480万元</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投资480万元</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完工进度</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≥80%</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年底前完成</w:t>
            </w:r>
          </w:p>
        </w:tc>
        <w:tc>
          <w:tcPr>
            <w:tcW w:w="9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0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成本控制率</w:t>
            </w:r>
          </w:p>
        </w:tc>
        <w:tc>
          <w:tcPr>
            <w:tcW w:w="94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0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完善我区农村公路路网建设</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完善</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完善</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推进乡村振兴的进程</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有效推荐</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有效推荐</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09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eastAsia="仿宋_GB2312"/>
                <w:color w:val="000000"/>
                <w:kern w:val="0"/>
                <w:sz w:val="21"/>
                <w:szCs w:val="21"/>
              </w:rPr>
              <w:t>服务对象满意度</w:t>
            </w:r>
          </w:p>
        </w:tc>
        <w:tc>
          <w:tcPr>
            <w:tcW w:w="94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≥90%</w:t>
            </w:r>
          </w:p>
        </w:tc>
        <w:tc>
          <w:tcPr>
            <w:tcW w:w="107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99.43</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pStyle w:val="2"/>
        <w:rPr>
          <w:rFonts w:eastAsia="黑体"/>
          <w:sz w:val="32"/>
          <w:szCs w:val="32"/>
        </w:rPr>
      </w:pPr>
    </w:p>
    <w:p>
      <w:pPr>
        <w:rPr>
          <w:rFonts w:eastAsia="黑体"/>
          <w:sz w:val="32"/>
          <w:szCs w:val="32"/>
        </w:rPr>
      </w:pPr>
    </w:p>
    <w:p>
      <w:pPr>
        <w:pStyle w:val="2"/>
        <w:rPr>
          <w:rFonts w:eastAsia="黑体"/>
          <w:sz w:val="32"/>
          <w:szCs w:val="32"/>
        </w:rPr>
      </w:pPr>
    </w:p>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-6</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992"/>
        <w:gridCol w:w="1260"/>
        <w:gridCol w:w="1016"/>
        <w:gridCol w:w="734"/>
        <w:gridCol w:w="1384"/>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2022年站场建设补助资金</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42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32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16"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38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350</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350</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350</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42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34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42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kern w:val="0"/>
                <w:sz w:val="21"/>
                <w:szCs w:val="21"/>
              </w:rPr>
              <w:t>2022年站场建设补助资金</w:t>
            </w:r>
            <w:r>
              <w:rPr>
                <w:rFonts w:hint="eastAsia"/>
                <w:kern w:val="0"/>
                <w:sz w:val="21"/>
                <w:szCs w:val="21"/>
                <w:lang w:eastAsia="zh-CN"/>
              </w:rPr>
              <w:t>，</w:t>
            </w:r>
            <w:r>
              <w:rPr>
                <w:rFonts w:hint="eastAsia"/>
                <w:kern w:val="0"/>
                <w:sz w:val="21"/>
                <w:szCs w:val="21"/>
                <w:lang w:val="en-US" w:eastAsia="zh-CN"/>
              </w:rPr>
              <w:t>即</w:t>
            </w:r>
            <w:r>
              <w:rPr>
                <w:rFonts w:hint="eastAsia" w:eastAsia="仿宋_GB2312"/>
                <w:color w:val="000000"/>
                <w:kern w:val="0"/>
                <w:sz w:val="21"/>
                <w:szCs w:val="21"/>
              </w:rPr>
              <w:t>2022年第一批车辆购置税补</w:t>
            </w:r>
            <w:r>
              <w:rPr>
                <w:rFonts w:hint="eastAsia"/>
                <w:color w:val="000000"/>
                <w:kern w:val="0"/>
                <w:sz w:val="21"/>
                <w:szCs w:val="21"/>
                <w:lang w:val="en-US" w:eastAsia="zh-CN"/>
              </w:rPr>
              <w:t>资金</w:t>
            </w:r>
            <w:r>
              <w:rPr>
                <w:rFonts w:hint="eastAsia" w:eastAsia="仿宋_GB2312"/>
                <w:color w:val="000000"/>
                <w:kern w:val="0"/>
                <w:sz w:val="21"/>
                <w:szCs w:val="21"/>
              </w:rPr>
              <w:t>共计</w:t>
            </w:r>
            <w:r>
              <w:rPr>
                <w:rFonts w:hint="eastAsia"/>
                <w:color w:val="000000"/>
                <w:kern w:val="0"/>
                <w:sz w:val="21"/>
                <w:szCs w:val="21"/>
                <w:lang w:val="en-US" w:eastAsia="zh-CN"/>
              </w:rPr>
              <w:t>350</w:t>
            </w:r>
            <w:r>
              <w:rPr>
                <w:rFonts w:hint="eastAsia" w:eastAsia="仿宋_GB2312"/>
                <w:color w:val="000000"/>
                <w:kern w:val="0"/>
                <w:sz w:val="21"/>
                <w:szCs w:val="21"/>
              </w:rPr>
              <w:t>万元。其中：200万元拨付深国际长沙综合物流港，用于深国际长沙综合物流港建设项目</w:t>
            </w:r>
            <w:r>
              <w:rPr>
                <w:rFonts w:hint="eastAsia"/>
                <w:color w:val="000000"/>
                <w:kern w:val="0"/>
                <w:sz w:val="21"/>
                <w:szCs w:val="21"/>
                <w:lang w:eastAsia="zh-CN"/>
              </w:rPr>
              <w:t>；</w:t>
            </w:r>
            <w:r>
              <w:rPr>
                <w:rFonts w:hint="eastAsia" w:eastAsia="仿宋_GB2312"/>
                <w:color w:val="000000"/>
                <w:kern w:val="0"/>
                <w:sz w:val="21"/>
                <w:szCs w:val="21"/>
              </w:rPr>
              <w:t>150万元拨付湖南融湘智慧物流产业园，用于湖南融湘智慧物流产业园建设项目。</w:t>
            </w:r>
          </w:p>
        </w:tc>
        <w:tc>
          <w:tcPr>
            <w:tcW w:w="4344"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我局2022年度中央车购税补</w:t>
            </w:r>
            <w:r>
              <w:rPr>
                <w:rFonts w:hint="eastAsia"/>
                <w:color w:val="000000"/>
                <w:kern w:val="0"/>
                <w:sz w:val="21"/>
                <w:szCs w:val="21"/>
                <w:lang w:val="en-US" w:eastAsia="zh-CN"/>
              </w:rPr>
              <w:t>资金</w:t>
            </w:r>
            <w:r>
              <w:rPr>
                <w:rFonts w:hint="eastAsia" w:eastAsia="仿宋_GB2312"/>
                <w:color w:val="000000"/>
                <w:kern w:val="0"/>
                <w:sz w:val="21"/>
                <w:szCs w:val="21"/>
              </w:rPr>
              <w:t>共计</w:t>
            </w:r>
            <w:r>
              <w:rPr>
                <w:rFonts w:hint="eastAsia"/>
                <w:color w:val="000000"/>
                <w:kern w:val="0"/>
                <w:sz w:val="21"/>
                <w:szCs w:val="21"/>
                <w:lang w:val="en-US" w:eastAsia="zh-CN"/>
              </w:rPr>
              <w:t>350</w:t>
            </w:r>
            <w:r>
              <w:rPr>
                <w:rFonts w:hint="eastAsia" w:eastAsia="仿宋_GB2312"/>
                <w:color w:val="000000"/>
                <w:kern w:val="0"/>
                <w:sz w:val="21"/>
                <w:szCs w:val="21"/>
              </w:rPr>
              <w:t>万元。其中：200万元拨付深国际长沙综合物流港，用于深国际长沙综合物流港建设项目</w:t>
            </w:r>
            <w:r>
              <w:rPr>
                <w:rFonts w:hint="eastAsia"/>
                <w:color w:val="000000"/>
                <w:kern w:val="0"/>
                <w:sz w:val="21"/>
                <w:szCs w:val="21"/>
                <w:lang w:eastAsia="zh-CN"/>
              </w:rPr>
              <w:t>；</w:t>
            </w:r>
            <w:r>
              <w:rPr>
                <w:rFonts w:hint="eastAsia" w:eastAsia="仿宋_GB2312"/>
                <w:color w:val="000000"/>
                <w:kern w:val="0"/>
                <w:sz w:val="21"/>
                <w:szCs w:val="21"/>
              </w:rPr>
              <w:t>150万元拨付湖南融湘智慧物流产业园，用于湖南融湘智慧物流产业园建设项目。从整体上看，运用项目决策正确，资金管理规范，项目管理到位，按照制定的计划实施</w:t>
            </w:r>
            <w:r>
              <w:rPr>
                <w:rFonts w:hint="eastAsia"/>
                <w:color w:val="000000"/>
                <w:kern w:val="0"/>
                <w:sz w:val="21"/>
                <w:szCs w:val="21"/>
                <w:lang w:val="en-US" w:eastAsia="zh-CN"/>
              </w:rPr>
              <w:t>了站场建设</w:t>
            </w:r>
            <w:r>
              <w:rPr>
                <w:rFonts w:hint="eastAsia" w:eastAsia="仿宋_GB2312"/>
                <w:color w:val="000000"/>
                <w:kern w:val="0"/>
                <w:sz w:val="21"/>
                <w:szCs w:val="21"/>
              </w:rPr>
              <w:t>项目，取得了比较好的成效，基本实现了预期的绩效目标。通过交通基础设施建设，极大改善我区交通状况和道路通行能力，保障了农村经济及生活便利，完善了农村公共基础设施环境，提高了公众的满意度。对促进当地经济发展，拉动旅游业发展，推动乡村振兴具有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建设补助单位</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2个</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2个</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99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宋体" w:hAnsi="宋体" w:cs="Arial"/>
                <w:color w:val="000000"/>
                <w:kern w:val="0"/>
                <w:sz w:val="21"/>
                <w:szCs w:val="21"/>
                <w:lang w:val="en-US" w:eastAsia="zh-CN"/>
              </w:rPr>
              <w:t>拨付对象界定准确率</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3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资金拨付及时率</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3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资金拨付标准准确率</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3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完善农村公共基础设施环境</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基本完善</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color w:val="000000"/>
                <w:kern w:val="0"/>
                <w:sz w:val="21"/>
                <w:szCs w:val="21"/>
                <w:lang w:val="en-US" w:eastAsia="zh-CN"/>
              </w:rPr>
              <w:t>完善</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eastAsia="仿宋_GB2312"/>
                <w:color w:val="000000"/>
                <w:kern w:val="0"/>
                <w:sz w:val="21"/>
                <w:szCs w:val="21"/>
              </w:rPr>
              <w:t>改善我区交通状况和道路通行能力</w:t>
            </w:r>
          </w:p>
        </w:tc>
        <w:tc>
          <w:tcPr>
            <w:tcW w:w="12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极大改善</w:t>
            </w:r>
          </w:p>
        </w:tc>
        <w:tc>
          <w:tcPr>
            <w:tcW w:w="10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极大改善</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3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99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拨付对象满意度</w:t>
            </w:r>
          </w:p>
        </w:tc>
        <w:tc>
          <w:tcPr>
            <w:tcW w:w="12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38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38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eastAsia="黑体"/>
          <w:sz w:val="32"/>
          <w:szCs w:val="32"/>
        </w:rPr>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-7</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95"/>
        <w:gridCol w:w="1168"/>
        <w:gridCol w:w="950"/>
        <w:gridCol w:w="1000"/>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2020</w:t>
            </w:r>
            <w:r>
              <w:rPr>
                <w:rFonts w:hint="eastAsia" w:eastAsia="仿宋_GB2312"/>
                <w:kern w:val="0"/>
                <w:sz w:val="21"/>
                <w:szCs w:val="21"/>
                <w:lang w:val="en-US" w:eastAsia="zh-CN"/>
              </w:rPr>
              <w:t>-2021</w:t>
            </w:r>
            <w:r>
              <w:rPr>
                <w:rFonts w:hint="eastAsia" w:eastAsia="仿宋_GB2312"/>
                <w:kern w:val="0"/>
                <w:sz w:val="21"/>
                <w:szCs w:val="21"/>
              </w:rPr>
              <w:t>年度出租车成品油价格外贴资金</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29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00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rPr>
            </w:pPr>
            <w:r>
              <w:rPr>
                <w:rFonts w:hint="eastAsia" w:ascii="Times New Roman" w:hAnsi="Times New Roman" w:eastAsia="仿宋_GB2312" w:cs="Times New Roman"/>
                <w:color w:val="000000"/>
                <w:kern w:val="0"/>
                <w:sz w:val="21"/>
                <w:szCs w:val="21"/>
                <w:lang w:val="en-US" w:eastAsia="zh-CN"/>
              </w:rPr>
              <w:t>3195.80</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lang w:val="en-US" w:eastAsia="zh-CN"/>
              </w:rPr>
              <w:t>3134.63</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98.09%</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eastAsia="仿宋_GB2312" w:cs="Times New Roman"/>
                <w:color w:val="000000"/>
                <w:kern w:val="0"/>
                <w:sz w:val="21"/>
                <w:szCs w:val="21"/>
                <w:lang w:val="en-US" w:eastAsia="zh-CN"/>
              </w:rPr>
              <w:t>3134.63</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29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4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293"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10" w:firstLineChars="100"/>
              <w:jc w:val="left"/>
              <w:textAlignment w:val="auto"/>
              <w:rPr>
                <w:rFonts w:hint="eastAsia" w:eastAsia="仿宋_GB2312"/>
                <w:color w:val="000000"/>
                <w:kern w:val="0"/>
                <w:sz w:val="21"/>
                <w:szCs w:val="21"/>
                <w:lang w:eastAsia="zh-CN"/>
              </w:rPr>
            </w:pPr>
            <w:r>
              <w:rPr>
                <w:rFonts w:hint="eastAsia" w:eastAsia="仿宋_GB2312"/>
                <w:color w:val="000000"/>
                <w:kern w:val="0"/>
                <w:sz w:val="21"/>
                <w:szCs w:val="21"/>
                <w:lang w:eastAsia="zh-CN"/>
              </w:rPr>
              <w:t>根据全市统一安排，开福区出租车司机油补资金通过“一卡通”系统发放。其中，2020年应发2328人次、金额2198.22万元</w:t>
            </w:r>
            <w:r>
              <w:rPr>
                <w:rFonts w:hint="eastAsia"/>
                <w:color w:val="000000"/>
                <w:kern w:val="0"/>
                <w:sz w:val="21"/>
                <w:szCs w:val="21"/>
                <w:lang w:eastAsia="zh-CN"/>
              </w:rPr>
              <w:t>；</w:t>
            </w:r>
            <w:r>
              <w:rPr>
                <w:rFonts w:hint="eastAsia" w:eastAsia="仿宋_GB2312"/>
                <w:color w:val="000000"/>
                <w:kern w:val="0"/>
                <w:sz w:val="21"/>
                <w:szCs w:val="21"/>
                <w:lang w:eastAsia="zh-CN"/>
              </w:rPr>
              <w:t>2021年应发</w:t>
            </w:r>
            <w:r>
              <w:rPr>
                <w:rFonts w:hint="eastAsia"/>
                <w:color w:val="000000"/>
                <w:kern w:val="0"/>
                <w:sz w:val="21"/>
                <w:szCs w:val="21"/>
                <w:lang w:val="en-US" w:eastAsia="zh-CN"/>
              </w:rPr>
              <w:t>2194人次、</w:t>
            </w:r>
            <w:r>
              <w:rPr>
                <w:rFonts w:hint="eastAsia" w:eastAsia="仿宋_GB2312"/>
                <w:color w:val="000000"/>
                <w:kern w:val="0"/>
                <w:sz w:val="21"/>
                <w:szCs w:val="21"/>
                <w:lang w:eastAsia="zh-CN"/>
              </w:rPr>
              <w:t>金额984.2</w:t>
            </w:r>
            <w:r>
              <w:rPr>
                <w:rFonts w:hint="eastAsia"/>
                <w:color w:val="000000"/>
                <w:kern w:val="0"/>
                <w:sz w:val="21"/>
                <w:szCs w:val="21"/>
                <w:lang w:val="en-US" w:eastAsia="zh-CN"/>
              </w:rPr>
              <w:t>1</w:t>
            </w:r>
            <w:r>
              <w:rPr>
                <w:rFonts w:hint="eastAsia" w:eastAsia="仿宋_GB2312"/>
                <w:color w:val="000000"/>
                <w:kern w:val="0"/>
                <w:sz w:val="21"/>
                <w:szCs w:val="21"/>
                <w:lang w:eastAsia="zh-CN"/>
              </w:rPr>
              <w:t>万元。</w:t>
            </w:r>
          </w:p>
        </w:tc>
        <w:tc>
          <w:tcPr>
            <w:tcW w:w="4478"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eastAsia="仿宋_GB2312"/>
                <w:color w:val="FF0000"/>
                <w:kern w:val="0"/>
                <w:sz w:val="21"/>
                <w:szCs w:val="21"/>
              </w:rPr>
              <w:t>　</w:t>
            </w:r>
            <w:r>
              <w:rPr>
                <w:rFonts w:hint="eastAsia" w:eastAsia="仿宋_GB2312"/>
                <w:color w:val="000000"/>
                <w:kern w:val="0"/>
                <w:sz w:val="21"/>
                <w:szCs w:val="21"/>
                <w:lang w:eastAsia="zh-CN"/>
              </w:rPr>
              <w:t>根据全市统一安排，开福区出租车司机油补资金通过“一卡通”系统发放了第一批。其中，</w:t>
            </w:r>
            <w:r>
              <w:rPr>
                <w:rFonts w:hint="eastAsia"/>
                <w:color w:val="auto"/>
                <w:kern w:val="0"/>
                <w:sz w:val="21"/>
                <w:szCs w:val="21"/>
                <w:lang w:val="en-US" w:eastAsia="zh-CN"/>
              </w:rPr>
              <w:t>2020年</w:t>
            </w:r>
            <w:r>
              <w:rPr>
                <w:rFonts w:hint="eastAsia" w:eastAsia="仿宋_GB2312"/>
                <w:color w:val="000000"/>
                <w:kern w:val="0"/>
                <w:sz w:val="21"/>
                <w:szCs w:val="21"/>
                <w:lang w:eastAsia="zh-CN"/>
              </w:rPr>
              <w:t>已发放2289人次、金额2166.3</w:t>
            </w:r>
            <w:r>
              <w:rPr>
                <w:rFonts w:hint="eastAsia"/>
                <w:color w:val="000000"/>
                <w:kern w:val="0"/>
                <w:sz w:val="21"/>
                <w:szCs w:val="21"/>
                <w:lang w:val="en-US" w:eastAsia="zh-CN"/>
              </w:rPr>
              <w:t>9</w:t>
            </w:r>
            <w:r>
              <w:rPr>
                <w:rFonts w:hint="eastAsia" w:eastAsia="仿宋_GB2312"/>
                <w:color w:val="000000"/>
                <w:kern w:val="0"/>
                <w:sz w:val="21"/>
                <w:szCs w:val="21"/>
                <w:lang w:eastAsia="zh-CN"/>
              </w:rPr>
              <w:t>万元；</w:t>
            </w:r>
            <w:r>
              <w:rPr>
                <w:rFonts w:hint="eastAsia"/>
                <w:color w:val="000000"/>
                <w:kern w:val="0"/>
                <w:sz w:val="21"/>
                <w:szCs w:val="21"/>
                <w:lang w:val="en-US" w:eastAsia="zh-CN"/>
              </w:rPr>
              <w:t>2021年</w:t>
            </w:r>
            <w:r>
              <w:rPr>
                <w:rFonts w:hint="eastAsia" w:eastAsia="仿宋_GB2312"/>
                <w:color w:val="000000"/>
                <w:kern w:val="0"/>
                <w:sz w:val="21"/>
                <w:szCs w:val="21"/>
                <w:lang w:eastAsia="zh-CN"/>
              </w:rPr>
              <w:t>已发放2151人次、金额968.2</w:t>
            </w:r>
            <w:r>
              <w:rPr>
                <w:rFonts w:hint="eastAsia"/>
                <w:color w:val="000000"/>
                <w:kern w:val="0"/>
                <w:sz w:val="21"/>
                <w:szCs w:val="21"/>
                <w:lang w:val="en-US" w:eastAsia="zh-CN"/>
              </w:rPr>
              <w:t>4</w:t>
            </w:r>
            <w:r>
              <w:rPr>
                <w:rFonts w:hint="eastAsia" w:eastAsia="仿宋_GB2312"/>
                <w:color w:val="000000"/>
                <w:kern w:val="0"/>
                <w:sz w:val="21"/>
                <w:szCs w:val="21"/>
                <w:lang w:eastAsia="zh-CN"/>
              </w:rPr>
              <w:t>万元</w:t>
            </w:r>
            <w:r>
              <w:rPr>
                <w:rFonts w:hint="eastAsia"/>
                <w:color w:val="000000"/>
                <w:kern w:val="0"/>
                <w:sz w:val="21"/>
                <w:szCs w:val="21"/>
                <w:lang w:eastAsia="zh-CN"/>
              </w:rPr>
              <w:t>，有82人次、47.80万元未发放到位，</w:t>
            </w:r>
            <w:r>
              <w:rPr>
                <w:rFonts w:hint="eastAsia"/>
                <w:color w:val="000000"/>
                <w:kern w:val="0"/>
                <w:sz w:val="21"/>
                <w:szCs w:val="21"/>
                <w:lang w:val="en-US" w:eastAsia="zh-CN"/>
              </w:rPr>
              <w:t>是由于在此次发放过程中，发放人数多，我局以出租车公司为单位，统一收集司机的银行卡号，统一录入数据，统一提交财政发放，司机所在出租车公司未能提供“一卡通”系统发放必需的司机银行卡号，导致这82人次第一批没有发放到位。为尽快将剩余司机的油补资金发放到位，我局报请市交通局同意，直接向司机收集银行卡号，待数据录入系统后，协调区财政在春节前将2020年油补资金发放到位。2021年剩余资金待2020年发放到司机账户后，我局立即补录数据，协调区财政尽快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2020年发放人数</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eastAsia="仿宋_GB2312"/>
                <w:color w:val="000000"/>
                <w:kern w:val="0"/>
                <w:sz w:val="21"/>
                <w:szCs w:val="21"/>
                <w:lang w:eastAsia="zh-CN"/>
              </w:rPr>
              <w:t>2328人次</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eastAsia="zh-CN"/>
              </w:rPr>
              <w:t>2289人次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协调区财政尽快发放到位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eastAsia="zh-CN"/>
              </w:rPr>
            </w:pPr>
            <w:r>
              <w:rPr>
                <w:rFonts w:hint="eastAsia"/>
                <w:color w:val="000000"/>
                <w:kern w:val="0"/>
                <w:sz w:val="21"/>
                <w:szCs w:val="21"/>
                <w:lang w:val="en-US" w:eastAsia="zh-CN"/>
              </w:rPr>
              <w:t>2021年发放人数</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rPr>
            </w:pPr>
            <w:r>
              <w:rPr>
                <w:rFonts w:hint="eastAsia"/>
                <w:color w:val="000000"/>
                <w:kern w:val="0"/>
                <w:sz w:val="21"/>
                <w:szCs w:val="21"/>
                <w:lang w:val="en-US" w:eastAsia="zh-CN"/>
              </w:rPr>
              <w:t>2194人次</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lang w:eastAsia="zh-CN"/>
              </w:rPr>
              <w:t>2151人次</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4</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协调区财政尽快发放到位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宋体" w:hAnsi="宋体" w:cs="Arial"/>
                <w:color w:val="000000"/>
                <w:kern w:val="0"/>
                <w:sz w:val="21"/>
                <w:szCs w:val="21"/>
                <w:lang w:val="en-US" w:eastAsia="zh-CN"/>
              </w:rPr>
              <w:t>拨付对象界定准确率</w:t>
            </w:r>
          </w:p>
        </w:tc>
        <w:tc>
          <w:tcPr>
            <w:tcW w:w="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1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年底前完成</w:t>
            </w:r>
          </w:p>
        </w:tc>
        <w:tc>
          <w:tcPr>
            <w:tcW w:w="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资金拨付标准准确率</w:t>
            </w:r>
          </w:p>
        </w:tc>
        <w:tc>
          <w:tcPr>
            <w:tcW w:w="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100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提高出租汽车服务质量</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有效提高</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有效提高</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支持公共交通发展，新能源出租车</w:t>
            </w:r>
            <w:r>
              <w:rPr>
                <w:rFonts w:hint="eastAsia"/>
                <w:color w:val="000000"/>
                <w:kern w:val="0"/>
                <w:sz w:val="21"/>
                <w:szCs w:val="21"/>
                <w:lang w:val="en-US" w:eastAsia="zh-CN"/>
              </w:rPr>
              <w:t>等</w:t>
            </w:r>
            <w:r>
              <w:rPr>
                <w:rFonts w:hint="eastAsia" w:eastAsia="仿宋_GB2312"/>
                <w:color w:val="000000"/>
                <w:kern w:val="0"/>
                <w:sz w:val="21"/>
                <w:szCs w:val="21"/>
              </w:rPr>
              <w:t>行业结构调整等。</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支持</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支持</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1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w:t>
            </w:r>
          </w:p>
        </w:tc>
        <w:tc>
          <w:tcPr>
            <w:tcW w:w="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≥90%</w:t>
            </w:r>
          </w:p>
        </w:tc>
        <w:tc>
          <w:tcPr>
            <w:tcW w:w="100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95%</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97.81</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p>
      <w:pPr>
        <w:widowControl/>
        <w:jc w:val="left"/>
        <w:rPr>
          <w:rFonts w:eastAsia="黑体"/>
          <w:sz w:val="32"/>
          <w:szCs w:val="32"/>
        </w:rPr>
      </w:pPr>
    </w:p>
    <w:p>
      <w:pPr>
        <w:pStyle w:val="2"/>
        <w:rPr>
          <w:rFonts w:eastAsia="黑体"/>
          <w:sz w:val="32"/>
          <w:szCs w:val="32"/>
        </w:rPr>
      </w:pPr>
    </w:p>
    <w:p/>
    <w:p>
      <w:pPr>
        <w:widowControl/>
        <w:jc w:val="left"/>
        <w:rPr>
          <w:rFonts w:eastAsia="黑体"/>
          <w:sz w:val="32"/>
          <w:szCs w:val="32"/>
        </w:rPr>
      </w:pPr>
    </w:p>
    <w:p>
      <w:pPr>
        <w:pStyle w:val="2"/>
        <w:rPr>
          <w:rFonts w:eastAsia="黑体"/>
          <w:sz w:val="32"/>
          <w:szCs w:val="32"/>
        </w:rPr>
      </w:pPr>
    </w:p>
    <w:p>
      <w:pPr>
        <w:rPr>
          <w:rFonts w:eastAsia="黑体"/>
          <w:sz w:val="32"/>
          <w:szCs w:val="32"/>
        </w:rPr>
      </w:pPr>
    </w:p>
    <w:p>
      <w:pPr>
        <w:pStyle w:val="2"/>
        <w:rPr>
          <w:rFonts w:eastAsia="黑体"/>
          <w:sz w:val="32"/>
          <w:szCs w:val="32"/>
        </w:rPr>
      </w:pPr>
    </w:p>
    <w:p>
      <w:pPr>
        <w:rPr>
          <w:rFonts w:eastAsia="黑体"/>
          <w:sz w:val="32"/>
          <w:szCs w:val="32"/>
        </w:rPr>
      </w:pPr>
    </w:p>
    <w:p>
      <w:pPr>
        <w:pStyle w:val="2"/>
        <w:rPr>
          <w:rFonts w:eastAsia="黑体"/>
          <w:sz w:val="32"/>
          <w:szCs w:val="32"/>
        </w:rPr>
      </w:pPr>
    </w:p>
    <w:p>
      <w:pPr>
        <w:rPr>
          <w:rFonts w:eastAsia="黑体"/>
          <w:sz w:val="32"/>
          <w:szCs w:val="32"/>
        </w:rPr>
      </w:pPr>
    </w:p>
    <w:p>
      <w:pPr>
        <w:pStyle w:val="2"/>
        <w:rPr>
          <w:rFonts w:eastAsia="黑体"/>
          <w:sz w:val="32"/>
          <w:szCs w:val="32"/>
        </w:rPr>
      </w:pPr>
    </w:p>
    <w:p>
      <w:pPr>
        <w:rPr>
          <w:rFonts w:eastAsia="黑体"/>
          <w:sz w:val="32"/>
          <w:szCs w:val="32"/>
        </w:rPr>
      </w:pPr>
    </w:p>
    <w:p>
      <w:pPr>
        <w:pStyle w:val="2"/>
        <w:rPr>
          <w:rFonts w:eastAsia="黑体"/>
          <w:sz w:val="32"/>
          <w:szCs w:val="32"/>
        </w:rPr>
      </w:pPr>
    </w:p>
    <w:p>
      <w:pPr>
        <w:pStyle w:val="2"/>
        <w:ind w:left="0" w:leftChars="0" w:firstLine="0" w:firstLineChars="0"/>
      </w:pPr>
    </w:p>
    <w:p>
      <w:pPr>
        <w:widowControl/>
        <w:jc w:val="left"/>
        <w:rPr>
          <w:rFonts w:hint="default" w:eastAsia="黑体"/>
          <w:sz w:val="32"/>
          <w:szCs w:val="32"/>
          <w:lang w:val="en-US" w:eastAsia="zh-CN"/>
        </w:rPr>
      </w:pPr>
      <w:r>
        <w:rPr>
          <w:rFonts w:eastAsia="黑体"/>
          <w:sz w:val="32"/>
          <w:szCs w:val="32"/>
        </w:rPr>
        <w:t>附件4</w:t>
      </w:r>
      <w:r>
        <w:rPr>
          <w:rFonts w:hint="eastAsia" w:eastAsia="黑体"/>
          <w:sz w:val="32"/>
          <w:szCs w:val="32"/>
          <w:lang w:val="en-US" w:eastAsia="zh-CN"/>
        </w:rPr>
        <w:t>-8</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outlineLvl w:val="0"/>
        <w:rPr>
          <w:rFonts w:eastAsia="方正小标宋_GBK"/>
          <w:color w:val="000000"/>
          <w:kern w:val="0"/>
          <w:sz w:val="36"/>
          <w:szCs w:val="36"/>
        </w:rPr>
      </w:pPr>
      <w:r>
        <w:rPr>
          <w:rFonts w:eastAsia="方正小标宋_GBK"/>
          <w:color w:val="000000"/>
          <w:kern w:val="0"/>
          <w:sz w:val="36"/>
          <w:szCs w:val="36"/>
        </w:rPr>
        <w:t>项目支出绩效自评表</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eastAsia="仿宋_GB2312"/>
          <w:color w:val="000000"/>
          <w:kern w:val="0"/>
          <w:szCs w:val="21"/>
        </w:rPr>
      </w:pPr>
      <w:r>
        <w:rPr>
          <w:rFonts w:eastAsia="仿宋_GB2312"/>
          <w:color w:val="000000"/>
          <w:kern w:val="0"/>
          <w:szCs w:val="21"/>
        </w:rPr>
        <w:t>（</w:t>
      </w:r>
      <w:r>
        <w:rPr>
          <w:rFonts w:hint="eastAsia"/>
          <w:color w:val="000000"/>
          <w:kern w:val="0"/>
          <w:szCs w:val="21"/>
          <w:lang w:val="en-US" w:eastAsia="zh-CN"/>
        </w:rPr>
        <w:t>2022</w:t>
      </w:r>
      <w:r>
        <w:rPr>
          <w:rFonts w:eastAsia="仿宋_GB2312"/>
          <w:color w:val="000000"/>
          <w:kern w:val="0"/>
          <w:szCs w:val="21"/>
        </w:rPr>
        <w:t>年度）</w:t>
      </w:r>
    </w:p>
    <w:tbl>
      <w:tblPr>
        <w:tblStyle w:val="10"/>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95"/>
        <w:gridCol w:w="1068"/>
        <w:gridCol w:w="916"/>
        <w:gridCol w:w="1134"/>
        <w:gridCol w:w="709"/>
        <w:gridCol w:w="1559"/>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项目支</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新冠疫情防控项目经费</w:t>
            </w: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主管部门</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实施单位</w:t>
            </w:r>
          </w:p>
        </w:tc>
        <w:tc>
          <w:tcPr>
            <w:tcW w:w="3478"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r>
              <w:rPr>
                <w:rFonts w:hint="eastAsia" w:eastAsia="仿宋_GB2312"/>
                <w:color w:val="000000"/>
                <w:kern w:val="0"/>
                <w:sz w:val="21"/>
                <w:szCs w:val="21"/>
              </w:rPr>
              <w:t>长沙市开福区交通运输局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项目资金</w:t>
            </w:r>
            <w:r>
              <w:rPr>
                <w:rFonts w:eastAsia="仿宋_GB2312"/>
                <w:color w:val="000000"/>
                <w:kern w:val="0"/>
                <w:sz w:val="21"/>
                <w:szCs w:val="21"/>
              </w:rPr>
              <w:br w:type="textWrapping"/>
            </w:r>
            <w:r>
              <w:rPr>
                <w:rFonts w:eastAsia="仿宋_GB2312"/>
                <w:color w:val="000000"/>
                <w:kern w:val="0"/>
                <w:sz w:val="21"/>
                <w:szCs w:val="21"/>
              </w:rPr>
              <w:t>（万元）</w:t>
            </w: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预算数</w:t>
            </w:r>
          </w:p>
        </w:tc>
        <w:tc>
          <w:tcPr>
            <w:tcW w:w="1134"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eastAsia="仿宋_GB2312"/>
                <w:sz w:val="21"/>
                <w:szCs w:val="21"/>
              </w:rPr>
            </w:pPr>
            <w:r>
              <w:rPr>
                <w:rFonts w:eastAsia="仿宋_GB2312"/>
                <w:sz w:val="21"/>
                <w:szCs w:val="21"/>
              </w:rPr>
              <w:t>全年</w:t>
            </w:r>
          </w:p>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执行数</w:t>
            </w:r>
          </w:p>
        </w:tc>
        <w:tc>
          <w:tcPr>
            <w:tcW w:w="70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分值</w:t>
            </w:r>
          </w:p>
        </w:tc>
        <w:tc>
          <w:tcPr>
            <w:tcW w:w="1559"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执行率</w:t>
            </w:r>
          </w:p>
        </w:tc>
        <w:tc>
          <w:tcPr>
            <w:tcW w:w="1210" w:type="dxa"/>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eastAsia="仿宋_GB2312"/>
                <w:sz w:val="21"/>
                <w:szCs w:val="21"/>
              </w:rPr>
            </w:pPr>
            <w:r>
              <w:rPr>
                <w:rFonts w:eastAsia="仿宋_GB2312"/>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年度资金总额　</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201.94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201.94</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kern w:val="0"/>
                <w:sz w:val="21"/>
                <w:szCs w:val="21"/>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其中：当年财政拨款　</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eastAsia="仿宋_GB2312"/>
                <w:color w:val="000000"/>
                <w:kern w:val="0"/>
                <w:sz w:val="21"/>
                <w:szCs w:val="21"/>
              </w:rPr>
              <w:t>201.94</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上年结转资金　</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2175"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630" w:firstLineChars="300"/>
              <w:jc w:val="left"/>
              <w:textAlignment w:val="auto"/>
              <w:rPr>
                <w:rFonts w:eastAsia="仿宋_GB2312"/>
                <w:color w:val="000000"/>
                <w:kern w:val="0"/>
                <w:sz w:val="21"/>
                <w:szCs w:val="21"/>
              </w:rPr>
            </w:pPr>
            <w:r>
              <w:rPr>
                <w:rFonts w:eastAsia="仿宋_GB2312"/>
                <w:color w:val="000000"/>
                <w:kern w:val="0"/>
                <w:sz w:val="21"/>
                <w:szCs w:val="21"/>
              </w:rPr>
              <w:t>其他资金</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0</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年度总体目标</w:t>
            </w: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预期目标</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4159"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高质量筑牢“长沙北大门”交通疫情防线</w:t>
            </w:r>
            <w:r>
              <w:rPr>
                <w:rFonts w:hint="eastAsia"/>
                <w:color w:val="000000"/>
                <w:kern w:val="0"/>
                <w:sz w:val="21"/>
                <w:szCs w:val="21"/>
                <w:lang w:eastAsia="zh-CN"/>
              </w:rPr>
              <w:t>，开福区交通运输局作为牵头单位，组织</w:t>
            </w:r>
            <w:r>
              <w:rPr>
                <w:rFonts w:hint="eastAsia"/>
                <w:color w:val="000000"/>
                <w:kern w:val="0"/>
                <w:sz w:val="21"/>
                <w:szCs w:val="21"/>
                <w:lang w:val="en-US" w:eastAsia="zh-CN"/>
              </w:rPr>
              <w:t>区内多个相关</w:t>
            </w:r>
            <w:r>
              <w:rPr>
                <w:rFonts w:hint="eastAsia"/>
                <w:color w:val="000000"/>
                <w:kern w:val="0"/>
                <w:sz w:val="21"/>
                <w:szCs w:val="21"/>
                <w:lang w:eastAsia="zh-CN"/>
              </w:rPr>
              <w:t>单位联合设立新港、捞刀河高速收费站疫情防控服务点2个，出动值守人员1.5万余人，查验车辆3</w:t>
            </w:r>
            <w:r>
              <w:rPr>
                <w:rFonts w:hint="eastAsia"/>
                <w:color w:val="000000"/>
                <w:kern w:val="0"/>
                <w:sz w:val="21"/>
                <w:szCs w:val="21"/>
                <w:lang w:val="en-US" w:eastAsia="zh-CN"/>
              </w:rPr>
              <w:t>00万余</w:t>
            </w:r>
            <w:r>
              <w:rPr>
                <w:rFonts w:hint="eastAsia"/>
                <w:color w:val="000000"/>
                <w:kern w:val="0"/>
                <w:sz w:val="21"/>
                <w:szCs w:val="21"/>
                <w:lang w:eastAsia="zh-CN"/>
              </w:rPr>
              <w:t>台，累计完成驾驶员核酸检测24</w:t>
            </w:r>
            <w:r>
              <w:rPr>
                <w:rFonts w:hint="eastAsia"/>
                <w:color w:val="000000"/>
                <w:kern w:val="0"/>
                <w:sz w:val="21"/>
                <w:szCs w:val="21"/>
                <w:lang w:val="en-US" w:eastAsia="zh-CN"/>
              </w:rPr>
              <w:t>万余</w:t>
            </w:r>
            <w:r>
              <w:rPr>
                <w:rFonts w:hint="eastAsia"/>
                <w:color w:val="000000"/>
                <w:kern w:val="0"/>
                <w:sz w:val="21"/>
                <w:szCs w:val="21"/>
                <w:lang w:eastAsia="zh-CN"/>
              </w:rPr>
              <w:t>人。</w:t>
            </w:r>
          </w:p>
        </w:tc>
        <w:tc>
          <w:tcPr>
            <w:tcW w:w="4612"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eastAsia="仿宋_GB2312"/>
                <w:color w:val="000000"/>
                <w:kern w:val="0"/>
                <w:sz w:val="21"/>
                <w:szCs w:val="21"/>
                <w:lang w:eastAsia="zh-CN"/>
              </w:rPr>
            </w:pPr>
            <w:r>
              <w:rPr>
                <w:rFonts w:eastAsia="仿宋_GB2312"/>
                <w:color w:val="000000"/>
                <w:kern w:val="0"/>
                <w:sz w:val="21"/>
                <w:szCs w:val="21"/>
              </w:rPr>
              <w:t>　</w:t>
            </w:r>
            <w:r>
              <w:rPr>
                <w:rFonts w:hint="eastAsia" w:eastAsia="仿宋_GB2312"/>
                <w:color w:val="000000"/>
                <w:kern w:val="0"/>
                <w:sz w:val="21"/>
                <w:szCs w:val="21"/>
              </w:rPr>
              <w:t>高质量筑牢“长沙北大门”交通疫情防线</w:t>
            </w:r>
            <w:r>
              <w:rPr>
                <w:rFonts w:hint="eastAsia"/>
                <w:color w:val="000000"/>
                <w:kern w:val="0"/>
                <w:sz w:val="21"/>
                <w:szCs w:val="21"/>
                <w:lang w:eastAsia="zh-CN"/>
              </w:rPr>
              <w:t>，开福区交通运输局作为牵头单位，组织区卫生健康局、区城管执法大队、交警大队、市交通开福执法大队、新港高速收费站、捞刀河高速收费站、青竹湖街道、捞刀河街道、沙坪街道等单位联合设立新港、捞刀河高速收费站疫情防控服务点2个，出动值守人员1.5万余人，共查验车辆3121995台，累计发现黄码人员9153人，红码人员143人（红码人员已按规定转运隔离酒店或原路劝返），累计完成驾驶员核酸检测247746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一级指标</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二级指标</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三级指标</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完成值</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分值</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得分</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rPr>
            </w:pPr>
            <w:r>
              <w:rPr>
                <w:rFonts w:eastAsia="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(50分)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数量指标</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设立疫情防控点</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2个</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2个</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出动值守人员</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1.5万余人</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1.5万余人</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color w:val="000000"/>
                <w:kern w:val="0"/>
                <w:sz w:val="21"/>
                <w:szCs w:val="21"/>
                <w:lang w:val="en-US" w:eastAsia="zh-CN"/>
              </w:rPr>
            </w:pPr>
            <w:r>
              <w:rPr>
                <w:rFonts w:hint="eastAsia"/>
                <w:color w:val="000000"/>
                <w:kern w:val="0"/>
                <w:sz w:val="21"/>
                <w:szCs w:val="21"/>
                <w:lang w:val="en-US" w:eastAsia="zh-CN"/>
              </w:rPr>
              <w:t>查验车辆</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color w:val="000000"/>
                <w:kern w:val="0"/>
                <w:sz w:val="21"/>
                <w:szCs w:val="21"/>
                <w:lang w:val="en-US" w:eastAsia="zh-CN"/>
              </w:rPr>
            </w:pPr>
            <w:r>
              <w:rPr>
                <w:rFonts w:hint="eastAsia"/>
                <w:color w:val="000000"/>
                <w:kern w:val="0"/>
                <w:sz w:val="21"/>
                <w:szCs w:val="21"/>
                <w:lang w:val="en-US" w:eastAsia="zh-CN"/>
              </w:rPr>
              <w:t>300余万台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color w:val="000000"/>
                <w:kern w:val="0"/>
                <w:sz w:val="21"/>
                <w:szCs w:val="21"/>
                <w:lang w:val="en-US" w:eastAsia="zh-CN"/>
              </w:rPr>
            </w:pPr>
            <w:r>
              <w:rPr>
                <w:rFonts w:hint="eastAsia"/>
                <w:color w:val="000000"/>
                <w:kern w:val="0"/>
                <w:sz w:val="21"/>
                <w:szCs w:val="21"/>
                <w:lang w:eastAsia="zh-CN"/>
              </w:rPr>
              <w:t>312.</w:t>
            </w:r>
            <w:r>
              <w:rPr>
                <w:rFonts w:hint="eastAsia"/>
                <w:color w:val="000000"/>
                <w:kern w:val="0"/>
                <w:sz w:val="21"/>
                <w:szCs w:val="21"/>
                <w:lang w:val="en-US" w:eastAsia="zh-CN"/>
              </w:rPr>
              <w:t>20万</w:t>
            </w:r>
            <w:r>
              <w:rPr>
                <w:rFonts w:hint="eastAsia"/>
                <w:color w:val="000000"/>
                <w:kern w:val="0"/>
                <w:sz w:val="21"/>
                <w:szCs w:val="21"/>
                <w:lang w:eastAsia="zh-CN"/>
              </w:rPr>
              <w:t>台</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核酸检测</w:t>
            </w:r>
          </w:p>
        </w:tc>
        <w:tc>
          <w:tcPr>
            <w:tcW w:w="916"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24万余人</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eastAsia="zh-CN"/>
              </w:rPr>
              <w:t>24</w:t>
            </w:r>
            <w:r>
              <w:rPr>
                <w:rFonts w:hint="eastAsia"/>
                <w:color w:val="000000"/>
                <w:kern w:val="0"/>
                <w:sz w:val="21"/>
                <w:szCs w:val="21"/>
                <w:lang w:val="en-US" w:eastAsia="zh-CN"/>
              </w:rPr>
              <w:t>.</w:t>
            </w:r>
            <w:r>
              <w:rPr>
                <w:rFonts w:hint="eastAsia"/>
                <w:color w:val="000000"/>
                <w:kern w:val="0"/>
                <w:sz w:val="21"/>
                <w:szCs w:val="21"/>
                <w:lang w:eastAsia="zh-CN"/>
              </w:rPr>
              <w:t>77</w:t>
            </w:r>
            <w:r>
              <w:rPr>
                <w:rFonts w:hint="eastAsia"/>
                <w:color w:val="000000"/>
                <w:kern w:val="0"/>
                <w:sz w:val="21"/>
                <w:szCs w:val="21"/>
                <w:lang w:val="en-US" w:eastAsia="zh-CN"/>
              </w:rPr>
              <w:t>万人</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质量指标</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检测结果准确率</w:t>
            </w:r>
          </w:p>
        </w:tc>
        <w:tc>
          <w:tcPr>
            <w:tcW w:w="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时效指标</w:t>
            </w:r>
          </w:p>
        </w:tc>
        <w:tc>
          <w:tcPr>
            <w:tcW w:w="10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default" w:ascii="Times New Roman" w:hAnsi="Times New Roman" w:eastAsia="仿宋_GB2312" w:cs="Times New Roman"/>
                <w:color w:val="000000"/>
                <w:kern w:val="0"/>
                <w:sz w:val="21"/>
                <w:szCs w:val="21"/>
              </w:rPr>
              <w:t>年底前完成</w:t>
            </w:r>
          </w:p>
        </w:tc>
        <w:tc>
          <w:tcPr>
            <w:tcW w:w="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2022年</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成本指标</w:t>
            </w:r>
          </w:p>
        </w:tc>
        <w:tc>
          <w:tcPr>
            <w:tcW w:w="10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成本控制率</w:t>
            </w:r>
          </w:p>
        </w:tc>
        <w:tc>
          <w:tcPr>
            <w:tcW w:w="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cs="Times New Roman"/>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（30分）</w:t>
            </w:r>
          </w:p>
        </w:tc>
        <w:tc>
          <w:tcPr>
            <w:tcW w:w="10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社会</w:t>
            </w:r>
            <w:r>
              <w:rPr>
                <w:rFonts w:eastAsia="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益指标</w:t>
            </w:r>
          </w:p>
        </w:tc>
        <w:tc>
          <w:tcPr>
            <w:tcW w:w="106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保障执法工作正常运转</w:t>
            </w:r>
          </w:p>
        </w:tc>
        <w:tc>
          <w:tcPr>
            <w:tcW w:w="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eastAsia" w:ascii="Times New Roman" w:hAnsi="Times New Roman" w:cs="Times New Roman"/>
                <w:color w:val="000000"/>
                <w:kern w:val="0"/>
                <w:sz w:val="21"/>
                <w:szCs w:val="21"/>
                <w:lang w:val="en-US" w:eastAsia="zh-CN"/>
              </w:rPr>
            </w:pPr>
            <w:r>
              <w:rPr>
                <w:rFonts w:hint="eastAsia" w:ascii="Times New Roman" w:hAnsi="Times New Roman" w:cs="Times New Roman"/>
                <w:color w:val="000000"/>
                <w:kern w:val="0"/>
                <w:sz w:val="21"/>
                <w:szCs w:val="21"/>
                <w:lang w:val="en-US" w:eastAsia="zh-CN"/>
              </w:rPr>
              <w:t>有效保障</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有效保障</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p>
        </w:tc>
        <w:tc>
          <w:tcPr>
            <w:tcW w:w="1068" w:type="dxa"/>
            <w:noWrap w:val="0"/>
            <w:vAlign w:val="center"/>
          </w:tcPr>
          <w:p>
            <w:pPr>
              <w:keepNext w:val="0"/>
              <w:keepLines w:val="0"/>
              <w:widowControl/>
              <w:suppressLineNumbers w:val="0"/>
              <w:jc w:val="left"/>
              <w:textAlignment w:val="center"/>
              <w:rPr>
                <w:rFonts w:ascii="宋体" w:hAnsi="宋体" w:eastAsia="宋体" w:cs="宋体"/>
                <w:i w:val="0"/>
                <w:iCs w:val="0"/>
                <w:color w:val="000000"/>
                <w:kern w:val="2"/>
                <w:sz w:val="14"/>
                <w:szCs w:val="14"/>
                <w:u w:val="none"/>
                <w:lang w:val="en-US" w:eastAsia="zh-CN" w:bidi="ar-SA"/>
              </w:rPr>
            </w:pPr>
            <w:r>
              <w:rPr>
                <w:rFonts w:hint="eastAsia" w:ascii="Times New Roman" w:hAnsi="Times New Roman" w:cs="Times New Roman"/>
                <w:color w:val="000000"/>
                <w:kern w:val="0"/>
                <w:sz w:val="21"/>
                <w:szCs w:val="21"/>
                <w:lang w:val="en-US" w:eastAsia="zh-CN"/>
              </w:rPr>
              <w:t>筑牢交通疫情防线</w:t>
            </w:r>
          </w:p>
        </w:tc>
        <w:tc>
          <w:tcPr>
            <w:tcW w:w="916"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4"/>
                <w:szCs w:val="14"/>
                <w:u w:val="none"/>
                <w:lang w:val="en-US" w:eastAsia="zh-CN" w:bidi="ar-SA"/>
              </w:rPr>
            </w:pPr>
            <w:r>
              <w:rPr>
                <w:rFonts w:hint="eastAsia" w:ascii="Times New Roman" w:hAnsi="Times New Roman" w:cs="Times New Roman"/>
                <w:color w:val="000000"/>
                <w:kern w:val="0"/>
                <w:sz w:val="21"/>
                <w:szCs w:val="21"/>
                <w:lang w:val="en-US" w:eastAsia="zh-CN"/>
              </w:rPr>
              <w:t>高质量筑牢</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hint="eastAsia" w:ascii="Times New Roman" w:hAnsi="Times New Roman" w:cs="Times New Roman"/>
                <w:color w:val="000000"/>
                <w:kern w:val="0"/>
                <w:sz w:val="21"/>
                <w:szCs w:val="21"/>
                <w:lang w:val="en-US" w:eastAsia="zh-CN"/>
              </w:rPr>
              <w:t>高质量筑牢</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15</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color w:val="000000"/>
                <w:kern w:val="0"/>
                <w:sz w:val="21"/>
                <w:szCs w:val="21"/>
                <w:lang w:val="en-US" w:eastAsia="zh-CN"/>
              </w:rPr>
              <w:t>15</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080" w:type="dxa"/>
            <w:vMerge w:val="continue"/>
            <w:noWrap w:val="0"/>
            <w:vAlign w:val="center"/>
          </w:tcPr>
          <w:p>
            <w:pPr>
              <w:keepNext w:val="0"/>
              <w:keepLines w:val="0"/>
              <w:pageBreakBefore w:val="0"/>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满意度</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（10分）</w:t>
            </w:r>
          </w:p>
        </w:tc>
        <w:tc>
          <w:tcPr>
            <w:tcW w:w="109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服务对象满意度指标</w:t>
            </w:r>
          </w:p>
        </w:tc>
        <w:tc>
          <w:tcPr>
            <w:tcW w:w="106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检测对象满意度</w:t>
            </w:r>
          </w:p>
        </w:tc>
        <w:tc>
          <w:tcPr>
            <w:tcW w:w="91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113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jc w:val="center"/>
              <w:textAlignment w:val="auto"/>
              <w:rPr>
                <w:rFonts w:hint="default"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kern w:val="0"/>
                <w:sz w:val="21"/>
                <w:szCs w:val="21"/>
                <w:lang w:val="en-US" w:eastAsia="zh-CN"/>
              </w:rPr>
              <w:t>100%</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73" w:type="dxa"/>
            <w:gridSpan w:val="6"/>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总分</w:t>
            </w:r>
          </w:p>
        </w:tc>
        <w:tc>
          <w:tcPr>
            <w:tcW w:w="70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eastAsia="仿宋_GB2312"/>
                <w:color w:val="000000"/>
                <w:kern w:val="0"/>
                <w:sz w:val="21"/>
                <w:szCs w:val="21"/>
              </w:rPr>
            </w:pPr>
            <w:r>
              <w:rPr>
                <w:rFonts w:eastAsia="仿宋_GB2312"/>
                <w:color w:val="000000"/>
                <w:kern w:val="0"/>
                <w:sz w:val="21"/>
                <w:szCs w:val="21"/>
              </w:rPr>
              <w:t>100</w:t>
            </w:r>
          </w:p>
        </w:tc>
        <w:tc>
          <w:tcPr>
            <w:tcW w:w="1559"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100</w:t>
            </w:r>
          </w:p>
        </w:tc>
        <w:tc>
          <w:tcPr>
            <w:tcW w:w="121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eastAsia="仿宋_GB2312"/>
                <w:color w:val="000000"/>
                <w:kern w:val="0"/>
                <w:sz w:val="21"/>
                <w:szCs w:val="21"/>
              </w:rPr>
            </w:pPr>
            <w:r>
              <w:rPr>
                <w:rFonts w:eastAsia="仿宋_GB2312"/>
                <w:color w:val="000000"/>
                <w:kern w:val="0"/>
                <w:sz w:val="21"/>
                <w:szCs w:val="21"/>
              </w:rPr>
              <w:t>　</w:t>
            </w:r>
          </w:p>
        </w:tc>
      </w:tr>
    </w:tbl>
    <w:p>
      <w:pPr>
        <w:rPr>
          <w:rFonts w:hint="eastAsia" w:ascii="Times New Roman" w:hAnsi="Times New Roman"/>
        </w:rPr>
      </w:pPr>
      <w:r>
        <w:rPr>
          <w:rFonts w:eastAsia="仿宋_GB2312"/>
          <w:kern w:val="0"/>
          <w:sz w:val="22"/>
        </w:rPr>
        <w:t>说明：</w:t>
      </w:r>
      <w:r>
        <w:rPr>
          <w:rFonts w:hint="eastAsia" w:eastAsia="仿宋_GB2312"/>
          <w:kern w:val="0"/>
          <w:sz w:val="22"/>
        </w:rPr>
        <w:t>“绩效指标”可根据部门内各业务科室（二级机构）线上相关政策文件的具体考核要求设定。也可由单位财务机构牵头，会同相关业务科室结合本单位业务实际情况设定。</w:t>
      </w:r>
    </w:p>
    <w:bookmarkEnd w:id="0"/>
    <w:p>
      <w:pPr>
        <w:rPr>
          <w:rFonts w:hint="eastAsia" w:eastAsia="仿宋_GB2312"/>
          <w:kern w:val="0"/>
          <w:sz w:val="2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C3EDE"/>
    <w:multiLevelType w:val="singleLevel"/>
    <w:tmpl w:val="91AC3EDE"/>
    <w:lvl w:ilvl="0" w:tentative="0">
      <w:start w:val="2"/>
      <w:numFmt w:val="chineseCounting"/>
      <w:suff w:val="nothing"/>
      <w:lvlText w:val="（%1）"/>
      <w:lvlJc w:val="left"/>
      <w:rPr>
        <w:rFonts w:hint="eastAsia"/>
      </w:rPr>
    </w:lvl>
  </w:abstractNum>
  <w:abstractNum w:abstractNumId="1">
    <w:nsid w:val="B1F3929D"/>
    <w:multiLevelType w:val="singleLevel"/>
    <w:tmpl w:val="B1F3929D"/>
    <w:lvl w:ilvl="0" w:tentative="0">
      <w:start w:val="8"/>
      <w:numFmt w:val="chineseCounting"/>
      <w:suff w:val="nothing"/>
      <w:lvlText w:val="%1、"/>
      <w:lvlJc w:val="left"/>
      <w:rPr>
        <w:rFonts w:hint="eastAsia"/>
      </w:rPr>
    </w:lvl>
  </w:abstractNum>
  <w:abstractNum w:abstractNumId="2">
    <w:nsid w:val="DB633B7C"/>
    <w:multiLevelType w:val="singleLevel"/>
    <w:tmpl w:val="DB633B7C"/>
    <w:lvl w:ilvl="0" w:tentative="0">
      <w:start w:val="1"/>
      <w:numFmt w:val="chineseCounting"/>
      <w:suff w:val="nothing"/>
      <w:lvlText w:val="（%1）"/>
      <w:lvlJc w:val="left"/>
      <w:pPr>
        <w:ind w:left="-13"/>
      </w:pPr>
      <w:rPr>
        <w:rFonts w:hint="eastAsia"/>
      </w:rPr>
    </w:lvl>
  </w:abstractNum>
  <w:abstractNum w:abstractNumId="3">
    <w:nsid w:val="E514E3F9"/>
    <w:multiLevelType w:val="singleLevel"/>
    <w:tmpl w:val="E514E3F9"/>
    <w:lvl w:ilvl="0" w:tentative="0">
      <w:start w:val="1"/>
      <w:numFmt w:val="decimal"/>
      <w:suff w:val="nothing"/>
      <w:lvlText w:val="%1、"/>
      <w:lvlJc w:val="left"/>
    </w:lvl>
  </w:abstractNum>
  <w:abstractNum w:abstractNumId="4">
    <w:nsid w:val="66821DDF"/>
    <w:multiLevelType w:val="singleLevel"/>
    <w:tmpl w:val="66821DDF"/>
    <w:lvl w:ilvl="0" w:tentative="0">
      <w:start w:val="3"/>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ODAxZDljMDllMThhNjZhODIxNGQwMmJjYTRlZDAifQ=="/>
  </w:docVars>
  <w:rsids>
    <w:rsidRoot w:val="008E78CB"/>
    <w:rsid w:val="006479FB"/>
    <w:rsid w:val="008E78CB"/>
    <w:rsid w:val="01A6468D"/>
    <w:rsid w:val="02B341A2"/>
    <w:rsid w:val="03011978"/>
    <w:rsid w:val="0328464B"/>
    <w:rsid w:val="04D614E6"/>
    <w:rsid w:val="066E3443"/>
    <w:rsid w:val="06D322B3"/>
    <w:rsid w:val="0828199A"/>
    <w:rsid w:val="08D02EBC"/>
    <w:rsid w:val="0ACD752C"/>
    <w:rsid w:val="0B1C2641"/>
    <w:rsid w:val="0C0C4FB5"/>
    <w:rsid w:val="0C6C00A7"/>
    <w:rsid w:val="0C8F3D96"/>
    <w:rsid w:val="0D253D87"/>
    <w:rsid w:val="0D6A62CB"/>
    <w:rsid w:val="10FF5AD6"/>
    <w:rsid w:val="11435423"/>
    <w:rsid w:val="11850CA6"/>
    <w:rsid w:val="15A85AA3"/>
    <w:rsid w:val="1684192F"/>
    <w:rsid w:val="18616F2E"/>
    <w:rsid w:val="19133639"/>
    <w:rsid w:val="196768DB"/>
    <w:rsid w:val="1BED7ABA"/>
    <w:rsid w:val="1D306ECF"/>
    <w:rsid w:val="1FD42590"/>
    <w:rsid w:val="23CE5CAC"/>
    <w:rsid w:val="24AA2E75"/>
    <w:rsid w:val="2677792E"/>
    <w:rsid w:val="26E3686F"/>
    <w:rsid w:val="28BF32BF"/>
    <w:rsid w:val="297125AF"/>
    <w:rsid w:val="2A0316E4"/>
    <w:rsid w:val="2A9A1E2C"/>
    <w:rsid w:val="2C986ED3"/>
    <w:rsid w:val="2EEC01C1"/>
    <w:rsid w:val="2FE04785"/>
    <w:rsid w:val="313B7382"/>
    <w:rsid w:val="35AD335B"/>
    <w:rsid w:val="35DC779C"/>
    <w:rsid w:val="36E2151E"/>
    <w:rsid w:val="384E1641"/>
    <w:rsid w:val="39733FDC"/>
    <w:rsid w:val="3ADB1F33"/>
    <w:rsid w:val="3AFF6407"/>
    <w:rsid w:val="3B800CD9"/>
    <w:rsid w:val="3BD970EE"/>
    <w:rsid w:val="3C53008C"/>
    <w:rsid w:val="3C9A4889"/>
    <w:rsid w:val="3C9B3859"/>
    <w:rsid w:val="3DDD2303"/>
    <w:rsid w:val="3E8E7B3B"/>
    <w:rsid w:val="3EFB5137"/>
    <w:rsid w:val="3F850EA5"/>
    <w:rsid w:val="41615E97"/>
    <w:rsid w:val="41B20CA5"/>
    <w:rsid w:val="43FA2C71"/>
    <w:rsid w:val="44BB608F"/>
    <w:rsid w:val="46004DE1"/>
    <w:rsid w:val="482D7856"/>
    <w:rsid w:val="4ACC4FA9"/>
    <w:rsid w:val="4B67576D"/>
    <w:rsid w:val="4C0A4C0B"/>
    <w:rsid w:val="4CD95DDF"/>
    <w:rsid w:val="4D2D3ACA"/>
    <w:rsid w:val="4DE17BEE"/>
    <w:rsid w:val="4DEA4CF4"/>
    <w:rsid w:val="4EA77B7D"/>
    <w:rsid w:val="4F5F473A"/>
    <w:rsid w:val="4F684367"/>
    <w:rsid w:val="4F8627FB"/>
    <w:rsid w:val="503723B2"/>
    <w:rsid w:val="5543118E"/>
    <w:rsid w:val="58AF6722"/>
    <w:rsid w:val="596C21DC"/>
    <w:rsid w:val="5AD84127"/>
    <w:rsid w:val="5BFC5BF3"/>
    <w:rsid w:val="5DF536DD"/>
    <w:rsid w:val="5DF621ED"/>
    <w:rsid w:val="60EE4B44"/>
    <w:rsid w:val="6149320C"/>
    <w:rsid w:val="61B156C4"/>
    <w:rsid w:val="61CB22EF"/>
    <w:rsid w:val="627F6856"/>
    <w:rsid w:val="663B1730"/>
    <w:rsid w:val="67227736"/>
    <w:rsid w:val="6841701F"/>
    <w:rsid w:val="6C187180"/>
    <w:rsid w:val="6D9B0669"/>
    <w:rsid w:val="6E1A0886"/>
    <w:rsid w:val="7309711B"/>
    <w:rsid w:val="732E4C52"/>
    <w:rsid w:val="736C1141"/>
    <w:rsid w:val="75041948"/>
    <w:rsid w:val="7A6C04E0"/>
    <w:rsid w:val="7A7C0656"/>
    <w:rsid w:val="7AD92279"/>
    <w:rsid w:val="7AF34939"/>
    <w:rsid w:val="7C1734E4"/>
    <w:rsid w:val="7FC61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8"/>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eastAsia="宋体" w:cs="仿宋_GB2312"/>
      <w:sz w:val="24"/>
      <w:szCs w:val="28"/>
    </w:rPr>
  </w:style>
  <w:style w:type="paragraph" w:styleId="4">
    <w:name w:val="Body Text"/>
    <w:basedOn w:val="1"/>
    <w:next w:val="5"/>
    <w:qFormat/>
    <w:uiPriority w:val="0"/>
    <w:pPr>
      <w:widowControl/>
      <w:spacing w:before="100" w:beforeAutospacing="1" w:after="100" w:afterAutospacing="1"/>
      <w:jc w:val="left"/>
    </w:pPr>
    <w:rPr>
      <w:rFonts w:ascii="宋体" w:hAnsi="宋体" w:cs="宋体"/>
      <w:kern w:val="0"/>
      <w:sz w:val="24"/>
    </w:rPr>
  </w:style>
  <w:style w:type="paragraph" w:styleId="5">
    <w:name w:val="Body Text First Indent"/>
    <w:basedOn w:val="4"/>
    <w:next w:val="6"/>
    <w:qFormat/>
    <w:uiPriority w:val="0"/>
    <w:pPr>
      <w:ind w:firstLine="420" w:firstLineChars="100"/>
    </w:pPr>
    <w:rPr>
      <w:rFonts w:ascii="Times New Roman" w:hAnsi="Times New Roman" w:eastAsia="Times New Roman"/>
    </w:rPr>
  </w:style>
  <w:style w:type="paragraph" w:styleId="6">
    <w:name w:val="Body Text Indent 3"/>
    <w:basedOn w:val="1"/>
    <w:qFormat/>
    <w:uiPriority w:val="0"/>
    <w:pPr>
      <w:spacing w:after="120"/>
      <w:ind w:left="420"/>
    </w:p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正文文本1"/>
    <w:basedOn w:val="1"/>
    <w:qFormat/>
    <w:uiPriority w:val="0"/>
  </w:style>
  <w:style w:type="paragraph" w:styleId="14">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15538</Words>
  <Characters>17280</Characters>
  <Lines>19</Lines>
  <Paragraphs>5</Paragraphs>
  <TotalTime>5</TotalTime>
  <ScaleCrop>false</ScaleCrop>
  <LinksUpToDate>false</LinksUpToDate>
  <CharactersWithSpaces>17554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2021-01-27T03:18:00Z</dcterms:created>
  <dc:creator>Administrator</dc:creator>
  <cp:lastModifiedBy>交通局-财务科小戴</cp:lastModifiedBy>
  <cp:lastPrinted>2023-04-12T01:13:00Z</cp:lastPrinted>
  <dcterms:modified xsi:type="dcterms:W3CDTF">2023-10-26T03:26:02Z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F2442BA6277C4F0EB3F5B333E3C7A32D</vt:lpwstr>
  </property>
</Properties>
</file>