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开福区发展和改革局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年度部门整体支出绩效评价报告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color w:val="auto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rPr>
          <w:rFonts w:hint="eastAsia" w:ascii="楷体_GB2312" w:hAnsi="仿宋" w:eastAsia="楷体_GB2312"/>
          <w:b/>
          <w:color w:val="auto"/>
          <w:sz w:val="32"/>
          <w:szCs w:val="32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（一）部门基本情况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长沙市开福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区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发展和改革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局属财政全额拨款预算行政单位，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人员情况：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本部门编制数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人，在职人数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人，其中：在岗人数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人；编外长期聘用人员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人；离退休人数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人，其中离休人员0人，退休人员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人。本部门由 1 个行政单位, 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个二级机构及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6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个职能科室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组成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，二级机构包括：开福区重点建设项目事务中心。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（二）当年取得的主要事业成效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1、加强前瞻谋划，在发挥参谋助手作用上展现新作为。一是科学制定经济社会发展计划;二是切实加强经济运行监测分析；三是认真搞好调研规划。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2、狠抓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zh-CN" w:eastAsia="zh-CN"/>
        </w:rPr>
        <w:t>项目建设，在促进投资稳定增长上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展现新作为。一是抓好项目编报铺排。二是优化速办项目审批。三是积极争取项目资金。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zh-CN" w:eastAsia="zh-CN"/>
        </w:rPr>
        <w:t>不断解放思想，在增强发展动力活力上展现新作为。一是严格落实减税降费政策；二是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积极兑现奖励扶持政策。三是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zh-CN" w:eastAsia="zh-CN"/>
        </w:rPr>
        <w:t>持续推进信用体系建设；四是全力保障优质价费服务。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jc w:val="both"/>
        <w:textAlignment w:val="auto"/>
        <w:rPr>
          <w:rFonts w:hint="eastAsia" w:eastAsia="仿宋_GB2312"/>
          <w:b w:val="0"/>
          <w:bCs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zh-CN" w:eastAsia="zh-CN"/>
        </w:rPr>
        <w:t>突出民生福祉，在推动社会事业发展上展现新作为。一是持续加强两型配套改革；二是</w:t>
      </w:r>
      <w:r>
        <w:rPr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规范推进公共资源交易工作；三是高效推进能源管理服务；四是全力抓好污染防治；四是纵深推进“河长制”工作；五是扎实做好油气管道安全管理。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二、收入支出预算执行情况分析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年开福区财政局批复部门年初预算为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1398.60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年一般公共预算拨款收入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1398.60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万元，具体安排情况如下：（一）基本支出：202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年预算数为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830.77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万元，包括用于基本工资、津贴补贴等人员经费以及日常公用经费。（二）项目支出：202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年预算数为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567.83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万元，其中：节能专项经费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135.00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万元，两型社会建设工作经费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40.61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万元，发展与改革工作经费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8.12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万元，投资管理工作经费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16.25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万元，遗留办工作经费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108.30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万元，物价工作经费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8.12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万元，重点办工作经费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66.79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万元，能源管理工作经费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45.13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万元，产业办（含一圈二场三道）工作经费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95.00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元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，公共机构节能工作经费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4.51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，垃圾分类工作经费0万元，电力指挥部工作经费40.00万元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rPr>
          <w:rFonts w:hint="eastAsia" w:ascii="楷体_GB2312" w:hAnsi="仿宋" w:eastAsia="楷体_GB2312"/>
          <w:b/>
          <w:color w:val="auto"/>
          <w:sz w:val="32"/>
          <w:szCs w:val="32"/>
        </w:rPr>
      </w:pP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（一）基本支出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基本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支出827.97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万元，主要系保障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机构正常运转、完成日常工作任务而发生的各项支出，包括用于在职基本工资、津补贴等人员经费及办公费、工会经费等日常公用经费。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支出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项目经费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支出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4320.47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万元，全部为财政拨款。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四、部门专项资金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组织实施情况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对财政专项资金的分配、使用和管理按照专款专用；统一支付、严格把关；跟踪问效、责任追究的原则进行管理。认真开展专项资金绩效管理，在资金分配中的项目申报、评审和安排，均按规定严格执行，每一笔收支都做到有依据、有凭证、有程序、有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五、部门整体支出绩效情况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、预算支出为做好全区发展改革工作提供可持续性经费保障。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、预算支出对于争取上级预算内投资发挥了效率性作用。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六、存在的主要问题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对部门整体支出绩效管理工作还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需进一步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加强。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七、改进措施和有关建议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both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日后需进一步加强业务知识学习，提升认识，重点管理，做好目标绩效管理工作。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WM0MzM0M2JiYTZjMmQ0ZDIxOWRlNjJlZmVkZTkifQ=="/>
  </w:docVars>
  <w:rsids>
    <w:rsidRoot w:val="00000000"/>
    <w:rsid w:val="0E4D3D2B"/>
    <w:rsid w:val="1B2D1DFA"/>
    <w:rsid w:val="20D853FF"/>
    <w:rsid w:val="336244E6"/>
    <w:rsid w:val="3C6E4852"/>
    <w:rsid w:val="44A61AED"/>
    <w:rsid w:val="45B317B5"/>
    <w:rsid w:val="4D7147E8"/>
    <w:rsid w:val="551B5F51"/>
    <w:rsid w:val="55F458D1"/>
    <w:rsid w:val="5896421B"/>
    <w:rsid w:val="64BF7142"/>
    <w:rsid w:val="650B3007"/>
    <w:rsid w:val="7904263C"/>
    <w:rsid w:val="7DB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1200</Words>
  <Characters>1303</Characters>
  <Lines>0</Lines>
  <Paragraphs>0</Paragraphs>
  <TotalTime>28</TotalTime>
  <ScaleCrop>false</ScaleCrop>
  <LinksUpToDate>false</LinksUpToDate>
  <CharactersWithSpaces>1307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2022-07-12T09:36:00Z</dcterms:created>
  <dc:creator>Administrator</dc:creator>
  <cp:lastModifiedBy>Administrator</cp:lastModifiedBy>
  <dcterms:modified xsi:type="dcterms:W3CDTF">2022-09-26T08:31:15Z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87CCC427A60447F48A574874015868EB</vt:lpwstr>
  </property>
</Properties>
</file>