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600" w:lineRule="exact"/>
        <w:jc w:val="center"/>
        <w:textAlignment w:val="auto"/>
        <w:rPr>
          <w:rFonts w:hint="eastAsia" w:eastAsia="黑体"/>
          <w:bCs/>
          <w:color w:val="auto"/>
          <w:kern w:val="0"/>
          <w:sz w:val="44"/>
          <w:szCs w:val="44"/>
          <w:highlight w:val="none"/>
          <w:lang w:val="en-US" w:eastAsia="zh-CN"/>
        </w:rPr>
      </w:pPr>
      <w:r>
        <w:rPr>
          <w:rFonts w:hint="eastAsia" w:ascii="黑体" w:hAnsi="黑体" w:eastAsia="黑体" w:cs="黑体"/>
          <w:b/>
          <w:bCs w:val="0"/>
          <w:color w:val="auto"/>
          <w:kern w:val="0"/>
          <w:sz w:val="44"/>
          <w:szCs w:val="44"/>
          <w:highlight w:val="none"/>
          <w:lang w:val="en-US" w:eastAsia="zh-CN"/>
        </w:rPr>
        <w:t>2020</w:t>
      </w:r>
      <w:r>
        <w:rPr>
          <w:rFonts w:hint="eastAsia" w:ascii="黑体" w:hAnsi="黑体" w:eastAsia="黑体" w:cs="黑体"/>
          <w:b/>
          <w:bCs w:val="0"/>
          <w:color w:val="auto"/>
          <w:kern w:val="0"/>
          <w:sz w:val="44"/>
          <w:szCs w:val="44"/>
          <w:highlight w:val="none"/>
        </w:rPr>
        <w:t>年</w:t>
      </w:r>
      <w:r>
        <w:rPr>
          <w:rFonts w:hint="eastAsia" w:ascii="黑体" w:hAnsi="黑体" w:eastAsia="黑体" w:cs="黑体"/>
          <w:b/>
          <w:bCs w:val="0"/>
          <w:color w:val="auto"/>
          <w:kern w:val="0"/>
          <w:sz w:val="44"/>
          <w:szCs w:val="44"/>
          <w:highlight w:val="none"/>
          <w:lang w:val="en-US" w:eastAsia="zh-CN"/>
        </w:rPr>
        <w:t>长沙市开福区发展和改革局</w:t>
      </w:r>
      <w:r>
        <w:rPr>
          <w:rFonts w:hint="eastAsia" w:ascii="黑体" w:hAnsi="黑体" w:eastAsia="黑体" w:cs="黑体"/>
          <w:b/>
          <w:bCs w:val="0"/>
          <w:color w:val="auto"/>
          <w:kern w:val="0"/>
          <w:sz w:val="44"/>
          <w:szCs w:val="44"/>
          <w:highlight w:val="none"/>
        </w:rPr>
        <w:t>部门决算</w:t>
      </w:r>
      <w:r>
        <w:rPr>
          <w:rFonts w:hint="eastAsia" w:ascii="黑体" w:hAnsi="黑体" w:eastAsia="黑体" w:cs="黑体"/>
          <w:b/>
          <w:bCs w:val="0"/>
          <w:color w:val="auto"/>
          <w:kern w:val="0"/>
          <w:sz w:val="44"/>
          <w:szCs w:val="44"/>
          <w:highlight w:val="none"/>
          <w:lang w:val="en-US" w:eastAsia="zh-CN"/>
        </w:rPr>
        <w:t>说明</w:t>
      </w:r>
    </w:p>
    <w:p>
      <w:pPr>
        <w:keepNext w:val="0"/>
        <w:keepLines w:val="0"/>
        <w:pageBreakBefore w:val="0"/>
        <w:widowControl/>
        <w:kinsoku/>
        <w:wordWrap/>
        <w:overflowPunct/>
        <w:topLinePunct w:val="0"/>
        <w:bidi w:val="0"/>
        <w:spacing w:line="600" w:lineRule="exact"/>
        <w:jc w:val="center"/>
        <w:textAlignment w:val="auto"/>
        <w:rPr>
          <w:rFonts w:eastAsia="楷体_GB2312"/>
          <w:bCs/>
          <w:color w:val="auto"/>
          <w:kern w:val="0"/>
          <w:sz w:val="32"/>
          <w:szCs w:val="32"/>
          <w:highlight w:val="none"/>
        </w:rPr>
      </w:pPr>
    </w:p>
    <w:p>
      <w:pPr>
        <w:keepNext w:val="0"/>
        <w:keepLines w:val="0"/>
        <w:pageBreakBefore w:val="0"/>
        <w:widowControl/>
        <w:kinsoku/>
        <w:wordWrap/>
        <w:overflowPunct/>
        <w:topLinePunct w:val="0"/>
        <w:bidi w:val="0"/>
        <w:spacing w:line="600" w:lineRule="exact"/>
        <w:jc w:val="center"/>
        <w:textAlignment w:val="auto"/>
        <w:rPr>
          <w:rFonts w:eastAsia="黑体"/>
          <w:bCs/>
          <w:color w:val="auto"/>
          <w:kern w:val="0"/>
          <w:sz w:val="32"/>
          <w:szCs w:val="32"/>
          <w:highlight w:val="none"/>
        </w:rPr>
      </w:pPr>
      <w:r>
        <w:rPr>
          <w:rFonts w:eastAsia="黑体"/>
          <w:bCs/>
          <w:color w:val="auto"/>
          <w:kern w:val="0"/>
          <w:sz w:val="32"/>
          <w:szCs w:val="32"/>
          <w:highlight w:val="none"/>
        </w:rPr>
        <w:t>目 录</w:t>
      </w:r>
    </w:p>
    <w:p>
      <w:pPr>
        <w:keepNext w:val="0"/>
        <w:keepLines w:val="0"/>
        <w:pageBreakBefore w:val="0"/>
        <w:widowControl/>
        <w:kinsoku/>
        <w:wordWrap/>
        <w:overflowPunct/>
        <w:topLinePunct w:val="0"/>
        <w:bidi w:val="0"/>
        <w:spacing w:line="600" w:lineRule="exact"/>
        <w:ind w:firstLine="643" w:firstLineChars="200"/>
        <w:textAlignment w:val="auto"/>
        <w:rPr>
          <w:rFonts w:hint="eastAsia"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 xml:space="preserve">第一部分 </w:t>
      </w:r>
      <w:r>
        <w:rPr>
          <w:rFonts w:hint="eastAsia" w:ascii="黑体" w:hAnsi="黑体" w:eastAsia="黑体" w:cs="黑体"/>
          <w:b/>
          <w:bCs/>
          <w:color w:val="auto"/>
          <w:kern w:val="0"/>
          <w:sz w:val="32"/>
          <w:szCs w:val="32"/>
          <w:highlight w:val="none"/>
          <w:lang w:val="en-US" w:eastAsia="zh-CN"/>
        </w:rPr>
        <w:t>长沙市开福区发展和改革局</w:t>
      </w:r>
      <w:r>
        <w:rPr>
          <w:rFonts w:hint="eastAsia" w:ascii="黑体" w:hAnsi="黑体" w:eastAsia="黑体" w:cs="黑体"/>
          <w:b/>
          <w:bCs/>
          <w:color w:val="auto"/>
          <w:kern w:val="0"/>
          <w:sz w:val="32"/>
          <w:szCs w:val="32"/>
          <w:highlight w:val="none"/>
        </w:rPr>
        <w:t>概况</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一、部门职责</w:t>
      </w:r>
      <w:bookmarkStart w:id="0" w:name="_GoBack"/>
      <w:bookmarkEnd w:id="0"/>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二、机构设置</w:t>
      </w:r>
    </w:p>
    <w:p>
      <w:pPr>
        <w:keepNext w:val="0"/>
        <w:keepLines w:val="0"/>
        <w:pageBreakBefore w:val="0"/>
        <w:widowControl/>
        <w:kinsoku/>
        <w:wordWrap/>
        <w:overflowPunct/>
        <w:topLinePunct w:val="0"/>
        <w:bidi w:val="0"/>
        <w:spacing w:line="600" w:lineRule="exact"/>
        <w:ind w:firstLine="643" w:firstLineChars="200"/>
        <w:jc w:val="left"/>
        <w:textAlignment w:val="auto"/>
        <w:rPr>
          <w:rFonts w:eastAsia="仿宋_GB2312"/>
          <w:b/>
          <w:bCs/>
          <w:color w:val="auto"/>
          <w:kern w:val="0"/>
          <w:sz w:val="32"/>
          <w:szCs w:val="32"/>
          <w:highlight w:val="none"/>
        </w:rPr>
      </w:pPr>
      <w:r>
        <w:rPr>
          <w:rFonts w:hint="eastAsia" w:ascii="黑体" w:hAnsi="黑体" w:eastAsia="黑体" w:cs="黑体"/>
          <w:b/>
          <w:bCs/>
          <w:color w:val="auto"/>
          <w:kern w:val="0"/>
          <w:sz w:val="32"/>
          <w:szCs w:val="32"/>
          <w:highlight w:val="none"/>
        </w:rPr>
        <w:t>第二部分 部门决算表</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一、收入支出决算总表</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二、收入决算表</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三、支出决算表</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四、财政拨款收入支出决算总表</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五、一般公共预算财政拨款支出决算表</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六、一般公共预算财政拨款基本支出决算表</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七、一般公共预算财政拨款“三公”经费支出决算表</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八、政府性基金预算财政拨款收入支出决算表</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九、国有资本经营预算财政拨款支出决算表</w:t>
      </w:r>
    </w:p>
    <w:p>
      <w:pPr>
        <w:keepNext w:val="0"/>
        <w:keepLines w:val="0"/>
        <w:pageBreakBefore w:val="0"/>
        <w:widowControl/>
        <w:kinsoku/>
        <w:wordWrap/>
        <w:overflowPunct/>
        <w:topLinePunct w:val="0"/>
        <w:bidi w:val="0"/>
        <w:spacing w:line="600" w:lineRule="exact"/>
        <w:ind w:firstLine="643" w:firstLineChars="200"/>
        <w:jc w:val="left"/>
        <w:textAlignment w:val="auto"/>
        <w:rPr>
          <w:rFonts w:hint="eastAsia"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 xml:space="preserve">第三部分 </w:t>
      </w:r>
      <w:r>
        <w:rPr>
          <w:rFonts w:hint="eastAsia" w:ascii="黑体" w:hAnsi="黑体" w:eastAsia="黑体" w:cs="黑体"/>
          <w:b/>
          <w:bCs/>
          <w:color w:val="auto"/>
          <w:kern w:val="0"/>
          <w:sz w:val="32"/>
          <w:szCs w:val="32"/>
          <w:highlight w:val="none"/>
          <w:lang w:val="en-US" w:eastAsia="zh-CN"/>
        </w:rPr>
        <w:t>2020</w:t>
      </w:r>
      <w:r>
        <w:rPr>
          <w:rFonts w:hint="eastAsia" w:ascii="黑体" w:hAnsi="黑体" w:eastAsia="黑体" w:cs="黑体"/>
          <w:b/>
          <w:bCs/>
          <w:color w:val="auto"/>
          <w:kern w:val="0"/>
          <w:sz w:val="32"/>
          <w:szCs w:val="32"/>
          <w:highlight w:val="none"/>
        </w:rPr>
        <w:t>年度部门决算情况说明</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一、收入支出决算总体情况说明</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二、收入决算情况说明</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三、支出决算情况说明</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四、财政拨款收入支出决算总体情况说明</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五、一般公共预算财政拨款支出决算情况说明</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六、一般公共预算财政拨款基本支出决算情况说明</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七、一般公共预算财政拨款三公经费支出决算情况说明</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八、政府性基金预算收入支出决算情况</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九、关于2020年度预算绩效情况的说明</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w:t>
      </w:r>
      <w:r>
        <w:rPr>
          <w:rFonts w:hint="eastAsia" w:ascii="仿宋" w:hAnsi="仿宋" w:eastAsia="仿宋" w:cs="仿宋"/>
          <w:color w:val="auto"/>
          <w:kern w:val="0"/>
          <w:sz w:val="32"/>
          <w:szCs w:val="32"/>
          <w:highlight w:val="none"/>
        </w:rPr>
        <w:t>其他重要事项情况说明</w:t>
      </w:r>
    </w:p>
    <w:p>
      <w:pPr>
        <w:keepNext w:val="0"/>
        <w:keepLines w:val="0"/>
        <w:pageBreakBefore w:val="0"/>
        <w:widowControl/>
        <w:kinsoku/>
        <w:wordWrap/>
        <w:overflowPunct/>
        <w:topLinePunct w:val="0"/>
        <w:bidi w:val="0"/>
        <w:spacing w:line="600" w:lineRule="exact"/>
        <w:ind w:firstLine="643" w:firstLineChars="200"/>
        <w:jc w:val="left"/>
        <w:textAlignment w:val="auto"/>
        <w:rPr>
          <w:rFonts w:hint="eastAsia"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第四部分 名词解释</w:t>
      </w:r>
    </w:p>
    <w:p>
      <w:pPr>
        <w:keepNext w:val="0"/>
        <w:keepLines w:val="0"/>
        <w:pageBreakBefore w:val="0"/>
        <w:widowControl/>
        <w:kinsoku/>
        <w:wordWrap/>
        <w:overflowPunct/>
        <w:topLinePunct w:val="0"/>
        <w:bidi w:val="0"/>
        <w:spacing w:line="600" w:lineRule="exact"/>
        <w:ind w:firstLine="643" w:firstLineChars="200"/>
        <w:jc w:val="left"/>
        <w:textAlignment w:val="auto"/>
        <w:rPr>
          <w:rFonts w:hint="eastAsia"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第五部分 附件</w:t>
      </w:r>
    </w:p>
    <w:p>
      <w:pPr>
        <w:keepNext w:val="0"/>
        <w:keepLines w:val="0"/>
        <w:pageBreakBefore w:val="0"/>
        <w:widowControl/>
        <w:kinsoku/>
        <w:wordWrap/>
        <w:overflowPunct/>
        <w:topLinePunct w:val="0"/>
        <w:bidi w:val="0"/>
        <w:snapToGrid w:val="0"/>
        <w:spacing w:line="600" w:lineRule="exact"/>
        <w:textAlignment w:val="auto"/>
        <w:rPr>
          <w:rFonts w:ascii="Times New Roman" w:hAnsi="Times New Roman" w:eastAsia="仿宋_GB2312" w:cs="Times New Roman"/>
          <w:b/>
          <w:bCs/>
          <w:color w:val="auto"/>
          <w:kern w:val="0"/>
          <w:sz w:val="32"/>
          <w:szCs w:val="32"/>
          <w:highlight w:val="none"/>
        </w:rPr>
      </w:pPr>
    </w:p>
    <w:p>
      <w:pPr>
        <w:keepNext w:val="0"/>
        <w:keepLines w:val="0"/>
        <w:pageBreakBefore w:val="0"/>
        <w:widowControl/>
        <w:kinsoku/>
        <w:wordWrap/>
        <w:overflowPunct/>
        <w:topLinePunct w:val="0"/>
        <w:bidi w:val="0"/>
        <w:snapToGrid w:val="0"/>
        <w:spacing w:line="600" w:lineRule="exact"/>
        <w:textAlignment w:val="auto"/>
        <w:rPr>
          <w:rFonts w:ascii="Times New Roman" w:hAnsi="Times New Roman" w:eastAsia="仿宋_GB2312" w:cs="Times New Roman"/>
          <w:b/>
          <w:bCs/>
          <w:color w:val="auto"/>
          <w:kern w:val="0"/>
          <w:sz w:val="32"/>
          <w:szCs w:val="32"/>
          <w:highlight w:val="none"/>
        </w:rPr>
      </w:pPr>
    </w:p>
    <w:p>
      <w:pPr>
        <w:keepNext w:val="0"/>
        <w:keepLines w:val="0"/>
        <w:pageBreakBefore w:val="0"/>
        <w:kinsoku/>
        <w:wordWrap/>
        <w:overflowPunct/>
        <w:topLinePunct w:val="0"/>
        <w:bidi w:val="0"/>
        <w:snapToGrid w:val="0"/>
        <w:spacing w:line="600" w:lineRule="exact"/>
        <w:jc w:val="center"/>
        <w:textAlignment w:val="auto"/>
        <w:rPr>
          <w:rFonts w:ascii="Times New Roman" w:hAnsi="Times New Roman" w:eastAsia="方正大标宋简体" w:cs="Times New Roman"/>
          <w:bCs/>
          <w:color w:val="auto"/>
          <w:sz w:val="44"/>
          <w:szCs w:val="44"/>
          <w:highlight w:val="none"/>
          <w:lang w:val="zh-CN"/>
        </w:rPr>
      </w:pPr>
      <w:r>
        <w:rPr>
          <w:rFonts w:hint="eastAsia" w:ascii="黑体" w:hAnsi="黑体" w:eastAsia="黑体" w:cs="黑体"/>
          <w:bCs/>
          <w:color w:val="auto"/>
          <w:sz w:val="44"/>
          <w:szCs w:val="44"/>
          <w:highlight w:val="none"/>
          <w:lang w:val="zh-CN"/>
        </w:rPr>
        <w:t xml:space="preserve">第一部分  </w:t>
      </w:r>
      <w:r>
        <w:rPr>
          <w:rFonts w:hint="eastAsia" w:ascii="黑体" w:hAnsi="黑体" w:eastAsia="黑体" w:cs="黑体"/>
          <w:bCs/>
          <w:color w:val="auto"/>
          <w:sz w:val="44"/>
          <w:szCs w:val="44"/>
          <w:highlight w:val="none"/>
          <w:lang w:val="en-US" w:eastAsia="zh-CN"/>
        </w:rPr>
        <w:t>长沙市开福区发展和改革局</w:t>
      </w:r>
      <w:r>
        <w:rPr>
          <w:rFonts w:hint="eastAsia" w:ascii="黑体" w:hAnsi="黑体" w:eastAsia="黑体" w:cs="黑体"/>
          <w:bCs/>
          <w:color w:val="auto"/>
          <w:sz w:val="44"/>
          <w:szCs w:val="44"/>
          <w:highlight w:val="none"/>
          <w:lang w:val="zh-CN"/>
        </w:rPr>
        <w:t>概况</w:t>
      </w:r>
    </w:p>
    <w:p>
      <w:pPr>
        <w:keepNext w:val="0"/>
        <w:keepLines w:val="0"/>
        <w:pageBreakBefore w:val="0"/>
        <w:kinsoku/>
        <w:wordWrap/>
        <w:overflowPunct/>
        <w:topLinePunct w:val="0"/>
        <w:bidi w:val="0"/>
        <w:snapToGrid w:val="0"/>
        <w:spacing w:line="600" w:lineRule="exact"/>
        <w:jc w:val="center"/>
        <w:textAlignment w:val="auto"/>
        <w:rPr>
          <w:rFonts w:ascii="Times New Roman" w:hAnsi="Times New Roman" w:eastAsia="方正大标宋简体" w:cs="Times New Roman"/>
          <w:bCs/>
          <w:color w:val="auto"/>
          <w:sz w:val="44"/>
          <w:szCs w:val="44"/>
          <w:highlight w:val="none"/>
          <w:lang w:val="zh-CN"/>
        </w:rPr>
      </w:pP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一、部门职责</w:t>
      </w:r>
    </w:p>
    <w:p>
      <w:pPr>
        <w:keepNext w:val="0"/>
        <w:keepLines w:val="0"/>
        <w:pageBreakBefore w:val="0"/>
        <w:widowControl/>
        <w:kinsoku/>
        <w:wordWrap/>
        <w:overflowPunct/>
        <w:topLinePunct w:val="0"/>
        <w:bidi w:val="0"/>
        <w:snapToGrid w:val="0"/>
        <w:spacing w:line="600" w:lineRule="exact"/>
        <w:ind w:firstLine="640" w:firstLineChars="200"/>
        <w:textAlignment w:val="auto"/>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一是承担拟定并组织实施全区国民经济和社会发展战略、中长期规划和年度发展计划，经济社会发展各项规划和政策衔接，指导推进总体经济体制改革、产业结构战略性调整和升级。二是研究提出全区固定资产投资总规模，规划重大项目布局、统筹协调地区经济合作、推进可持续发展等宏观职能。三是负责节能降耗、项目立项（备案）、项目招标投标监管、重点项目、两型社会建设综合配套改革、物价、监测经济和社会发展运行态势等工作。</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0" w:beforeAutospacing="0" w:after="30" w:afterAutospacing="0" w:line="600" w:lineRule="exact"/>
        <w:ind w:right="0" w:firstLine="643" w:firstLineChars="200"/>
        <w:jc w:val="left"/>
        <w:textAlignment w:val="auto"/>
        <w:rPr>
          <w:rFonts w:hint="eastAsia" w:ascii="仿宋" w:hAnsi="仿宋" w:eastAsia="仿宋" w:cs="仿宋"/>
          <w:bCs/>
          <w:color w:val="auto"/>
          <w:kern w:val="0"/>
          <w:sz w:val="32"/>
          <w:szCs w:val="32"/>
          <w:highlight w:val="none"/>
          <w:lang w:val="en-US" w:eastAsia="zh-CN"/>
        </w:rPr>
      </w:pPr>
      <w:r>
        <w:rPr>
          <w:rFonts w:hint="eastAsia" w:ascii="仿宋" w:hAnsi="仿宋" w:eastAsia="仿宋" w:cs="仿宋"/>
          <w:b/>
          <w:color w:val="auto"/>
          <w:kern w:val="0"/>
          <w:sz w:val="32"/>
          <w:szCs w:val="32"/>
          <w:highlight w:val="none"/>
        </w:rPr>
        <w:t>（一）内设机构设置。</w:t>
      </w:r>
      <w:r>
        <w:rPr>
          <w:rFonts w:hint="eastAsia" w:ascii="仿宋" w:hAnsi="仿宋" w:eastAsia="仿宋" w:cs="仿宋"/>
          <w:bCs/>
          <w:color w:val="auto"/>
          <w:kern w:val="0"/>
          <w:sz w:val="32"/>
          <w:szCs w:val="32"/>
          <w:highlight w:val="none"/>
          <w:lang w:val="en-US" w:eastAsia="zh-CN"/>
        </w:rPr>
        <w:t>长沙市开福区发展和改革局</w:t>
      </w:r>
      <w:r>
        <w:rPr>
          <w:rFonts w:hint="eastAsia" w:ascii="仿宋" w:hAnsi="仿宋" w:eastAsia="仿宋" w:cs="仿宋"/>
          <w:bCs/>
          <w:color w:val="auto"/>
          <w:kern w:val="0"/>
          <w:sz w:val="32"/>
          <w:szCs w:val="32"/>
          <w:highlight w:val="none"/>
        </w:rPr>
        <w:t>内设机构包括：</w:t>
      </w:r>
      <w:r>
        <w:rPr>
          <w:rFonts w:hint="eastAsia" w:ascii="仿宋" w:hAnsi="仿宋" w:eastAsia="仿宋" w:cs="仿宋"/>
          <w:bCs/>
          <w:color w:val="auto"/>
          <w:kern w:val="0"/>
          <w:sz w:val="32"/>
          <w:szCs w:val="32"/>
          <w:highlight w:val="none"/>
          <w:lang w:val="en-US" w:eastAsia="zh-CN"/>
        </w:rPr>
        <w:t>本部门由 1 个行政单位,1个二级机构及6个职能科室组成，二级机构包括：开福区重点建设项目事务中心。6个科室包括:（一）办公室。综合协调局机关各科室行政业务工作；负责工作制度的制定，起草重要报告、会议材料、工作总结，负责政务信息、会议组织、文秘打印、机要保密、档案资料管理、对外接待、安全保卫、机关后勤以及做好人员队伍思想作风、精神文明、党风廉政建设等有关管理工作；按照财务报账制的规定，管理局属财务和国有资产，负责党务以及工、青、妇工作。负责局机关规范性文件的审核，承担行政复议、应诉和其它法律性事务等工作。（二）发展规划科。拟定并组织实施全区国民经济和社会发展战略、中长期发展规划和年度发展计划，协调经济社会发展各专项规划和区域规划；研究分析宏观经济发展的趋势，对经济运行进行预测、预警，提出宏观经济调控对策和建议，协调各项社会事业发展中的重大问题。（三）投资管理科（行政审批和政务服务科）。负责提出全区全社会固定资产投资总规模，规划重大项目布局；指导监督政策性贷款的使用方向；审核上报市、省或国家审批的重点建设项目，审批权限内的建设项目；负责申报中央财政性建设资金项目，负责全区政府投资项目管理，安排区级财政性建设资金项目，编制下达全区政府投资计划；负责对国家和省、市出资的重点项目建设过程中的工程招标、建设进度、工程质量、资金使用以及投资概算控制进行监督检查。负责全区招投标工作的指导、协调、管理、监督。拟定招投标配套规定。依照审批权限核准建设项目招标组织形式、招标方式、招标范围。依法对招投标活动进行综合监管，对招标代理中介机构进行监督管理。依照权限对招投标活动中违法行为进行行政处罚。牵头负责行政审批事项办理。（四）体制改革科。研究经济体制改革问题，组织拟定综合性经济体制改革方案，协调有关专项经济体制改革方案，指导和推进总体经济体制改革。指导和规范企业改制，负责处理全区企业改制工作，受理企业改制申请，确认改制企业的资产评估和产权界定结果。审批企业股份制或股份合作制章程、存量集体资产的量化和个人配股购置方案以及国有、集体资产整体或部分出售方案。（五）价格管理科。贯彻落实国家、省、市有关价格的法律法规和价费改革的各项政策措施；依法管理全区价格工作和区属行政事业性收费，负责权限范围内的价格和收费审批；依法查处价格违法行为，负责价格举报和投诉工作的办理；组织实施价格监测工作。(六)能源管理科。主要组织研究全区的能源战略和拟定能源行业发展规划和年度计划；研究能源开发与节约、能源安全与应急、能源对外合作等重大政策；审核上报限额以上能源项目；组织协调重大能源项目建设等。1个二级机构：重点建设项目事务中心。主要负责国家、省、市在区重点工程项目的协调服务；对全区重大项目进行指导、协调、调度、考核、监督管理以及协调解决重大具体问题；负责拟定全区重大项目的年度计划和执行落实；负责重大项目建设数据统计和信息采集工作；负责市对区重大项目考核评价；组织开展重大项目建设成果及使用情况评价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0" w:beforeAutospacing="0" w:after="30" w:afterAutospacing="0" w:line="600" w:lineRule="exact"/>
        <w:ind w:right="0" w:firstLine="640" w:firstLineChars="200"/>
        <w:jc w:val="left"/>
        <w:textAlignment w:val="auto"/>
        <w:rPr>
          <w:rFonts w:hint="eastAsia" w:ascii="仿宋" w:hAnsi="仿宋" w:eastAsia="仿宋" w:cs="仿宋"/>
          <w:bCs/>
          <w:color w:val="auto"/>
          <w:kern w:val="0"/>
          <w:sz w:val="32"/>
          <w:szCs w:val="32"/>
          <w:highlight w:val="none"/>
          <w:lang w:val="en-US" w:eastAsia="zh-CN"/>
        </w:rPr>
      </w:pPr>
      <w:r>
        <w:rPr>
          <w:rFonts w:hint="eastAsia" w:ascii="仿宋" w:hAnsi="仿宋" w:eastAsia="仿宋" w:cs="仿宋"/>
          <w:bCs/>
          <w:color w:val="auto"/>
          <w:kern w:val="0"/>
          <w:sz w:val="32"/>
          <w:szCs w:val="32"/>
          <w:highlight w:val="none"/>
          <w:lang w:val="en-US" w:eastAsia="zh-CN"/>
        </w:rPr>
        <w:t>人员情况。本部门编制数24人，在职人数24人，其中：在岗人数 24人；编外长期聘用人员7人；离退休人数 8人，其中离休人员0人，退休人员8人。</w:t>
      </w:r>
    </w:p>
    <w:p>
      <w:pPr>
        <w:keepNext w:val="0"/>
        <w:keepLines w:val="0"/>
        <w:pageBreakBefore w:val="0"/>
        <w:widowControl/>
        <w:kinsoku/>
        <w:wordWrap/>
        <w:overflowPunct/>
        <w:topLinePunct w:val="0"/>
        <w:bidi w:val="0"/>
        <w:snapToGrid w:val="0"/>
        <w:spacing w:line="600" w:lineRule="exact"/>
        <w:ind w:firstLine="643" w:firstLineChars="200"/>
        <w:textAlignment w:val="auto"/>
        <w:rPr>
          <w:rFonts w:hint="eastAsia" w:ascii="仿宋" w:hAnsi="仿宋" w:eastAsia="仿宋" w:cs="仿宋"/>
          <w:bCs/>
          <w:color w:val="auto"/>
          <w:kern w:val="0"/>
          <w:sz w:val="32"/>
          <w:szCs w:val="32"/>
          <w:highlight w:val="none"/>
          <w:lang w:eastAsia="zh-CN"/>
        </w:rPr>
      </w:pPr>
      <w:r>
        <w:rPr>
          <w:rFonts w:hint="eastAsia" w:ascii="仿宋" w:hAnsi="仿宋" w:eastAsia="仿宋" w:cs="仿宋"/>
          <w:b/>
          <w:color w:val="auto"/>
          <w:kern w:val="0"/>
          <w:sz w:val="32"/>
          <w:szCs w:val="32"/>
          <w:highlight w:val="none"/>
        </w:rPr>
        <w:t>（二）决算单位构成。</w:t>
      </w:r>
      <w:r>
        <w:rPr>
          <w:rFonts w:hint="eastAsia" w:ascii="仿宋" w:hAnsi="仿宋" w:eastAsia="仿宋" w:cs="仿宋"/>
          <w:bCs/>
          <w:color w:val="auto"/>
          <w:kern w:val="0"/>
          <w:sz w:val="32"/>
          <w:szCs w:val="32"/>
          <w:highlight w:val="none"/>
          <w:lang w:val="en-US" w:eastAsia="zh-CN"/>
        </w:rPr>
        <w:t>长沙市开福区发展和改革局2020</w:t>
      </w:r>
      <w:r>
        <w:rPr>
          <w:rFonts w:hint="eastAsia" w:ascii="仿宋" w:hAnsi="仿宋" w:eastAsia="仿宋" w:cs="仿宋"/>
          <w:bCs/>
          <w:color w:val="auto"/>
          <w:kern w:val="0"/>
          <w:sz w:val="32"/>
          <w:szCs w:val="32"/>
          <w:highlight w:val="none"/>
        </w:rPr>
        <w:t>年部门决算汇总公开单位构成包括：</w:t>
      </w:r>
      <w:r>
        <w:rPr>
          <w:rFonts w:hint="eastAsia" w:ascii="仿宋" w:hAnsi="仿宋" w:eastAsia="仿宋" w:cs="仿宋"/>
          <w:bCs/>
          <w:color w:val="auto"/>
          <w:kern w:val="0"/>
          <w:sz w:val="32"/>
          <w:szCs w:val="32"/>
          <w:highlight w:val="none"/>
          <w:lang w:val="en-US" w:eastAsia="zh-CN"/>
        </w:rPr>
        <w:t>长沙市开福区发展和改革局</w:t>
      </w:r>
      <w:r>
        <w:rPr>
          <w:rFonts w:hint="eastAsia" w:ascii="仿宋" w:hAnsi="仿宋" w:eastAsia="仿宋" w:cs="仿宋"/>
          <w:bCs/>
          <w:color w:val="auto"/>
          <w:kern w:val="0"/>
          <w:sz w:val="32"/>
          <w:szCs w:val="32"/>
          <w:highlight w:val="none"/>
        </w:rPr>
        <w:t>本级</w:t>
      </w:r>
      <w:r>
        <w:rPr>
          <w:rFonts w:hint="eastAsia" w:ascii="仿宋" w:hAnsi="仿宋" w:eastAsia="仿宋" w:cs="仿宋"/>
          <w:bCs/>
          <w:color w:val="auto"/>
          <w:kern w:val="0"/>
          <w:sz w:val="32"/>
          <w:szCs w:val="32"/>
          <w:highlight w:val="none"/>
          <w:lang w:eastAsia="zh-CN"/>
        </w:rPr>
        <w:t>。</w:t>
      </w:r>
    </w:p>
    <w:p>
      <w:pPr>
        <w:keepNext w:val="0"/>
        <w:keepLines w:val="0"/>
        <w:pageBreakBefore w:val="0"/>
        <w:kinsoku/>
        <w:wordWrap/>
        <w:overflowPunct/>
        <w:topLinePunct w:val="0"/>
        <w:bidi w:val="0"/>
        <w:spacing w:line="600" w:lineRule="exact"/>
        <w:textAlignment w:val="auto"/>
        <w:rPr>
          <w:rFonts w:ascii="Times New Roman" w:hAnsi="Times New Roman" w:eastAsia="方正大标宋简体" w:cs="Times New Roman"/>
          <w:bCs/>
          <w:color w:val="auto"/>
          <w:sz w:val="44"/>
          <w:szCs w:val="44"/>
          <w:highlight w:val="none"/>
          <w:lang w:val="zh-CN"/>
        </w:rPr>
      </w:pPr>
    </w:p>
    <w:p>
      <w:pPr>
        <w:keepNext w:val="0"/>
        <w:keepLines w:val="0"/>
        <w:pageBreakBefore w:val="0"/>
        <w:kinsoku/>
        <w:wordWrap/>
        <w:overflowPunct/>
        <w:topLinePunct w:val="0"/>
        <w:bidi w:val="0"/>
        <w:spacing w:line="600" w:lineRule="exact"/>
        <w:jc w:val="center"/>
        <w:textAlignment w:val="auto"/>
        <w:rPr>
          <w:rFonts w:hint="eastAsia" w:ascii="黑体" w:hAnsi="黑体" w:eastAsia="黑体" w:cs="黑体"/>
          <w:bCs/>
          <w:color w:val="auto"/>
          <w:sz w:val="44"/>
          <w:szCs w:val="44"/>
          <w:highlight w:val="none"/>
          <w:lang w:val="en-US" w:eastAsia="zh-CN"/>
        </w:rPr>
      </w:pPr>
      <w:r>
        <w:rPr>
          <w:rFonts w:hint="eastAsia" w:ascii="黑体" w:hAnsi="黑体" w:eastAsia="黑体" w:cs="黑体"/>
          <w:bCs/>
          <w:color w:val="auto"/>
          <w:sz w:val="44"/>
          <w:szCs w:val="44"/>
          <w:highlight w:val="none"/>
          <w:lang w:val="zh-CN"/>
        </w:rPr>
        <w:t xml:space="preserve">第二部分  </w:t>
      </w:r>
      <w:r>
        <w:rPr>
          <w:rFonts w:hint="eastAsia" w:ascii="黑体" w:hAnsi="黑体" w:eastAsia="黑体" w:cs="黑体"/>
          <w:bCs/>
          <w:color w:val="auto"/>
          <w:sz w:val="44"/>
          <w:szCs w:val="44"/>
          <w:highlight w:val="none"/>
          <w:lang w:val="en-US" w:eastAsia="zh-CN"/>
        </w:rPr>
        <w:t>长沙市开福区发展和改革局</w:t>
      </w:r>
    </w:p>
    <w:p>
      <w:pPr>
        <w:keepNext w:val="0"/>
        <w:keepLines w:val="0"/>
        <w:pageBreakBefore w:val="0"/>
        <w:kinsoku/>
        <w:wordWrap/>
        <w:overflowPunct/>
        <w:topLinePunct w:val="0"/>
        <w:bidi w:val="0"/>
        <w:spacing w:line="600" w:lineRule="exact"/>
        <w:jc w:val="center"/>
        <w:textAlignment w:val="auto"/>
        <w:rPr>
          <w:rFonts w:hint="eastAsia" w:ascii="黑体" w:hAnsi="黑体" w:eastAsia="黑体" w:cs="黑体"/>
          <w:bCs/>
          <w:color w:val="auto"/>
          <w:sz w:val="44"/>
          <w:szCs w:val="44"/>
          <w:highlight w:val="none"/>
          <w:lang w:val="zh-CN"/>
        </w:rPr>
      </w:pPr>
      <w:r>
        <w:rPr>
          <w:rFonts w:hint="eastAsia" w:ascii="黑体" w:hAnsi="黑体" w:eastAsia="黑体" w:cs="黑体"/>
          <w:bCs/>
          <w:color w:val="auto"/>
          <w:sz w:val="44"/>
          <w:szCs w:val="44"/>
          <w:highlight w:val="none"/>
          <w:lang w:val="en-US" w:eastAsia="zh-CN"/>
        </w:rPr>
        <w:t>2020</w:t>
      </w:r>
      <w:r>
        <w:rPr>
          <w:rFonts w:hint="eastAsia" w:ascii="黑体" w:hAnsi="黑体" w:eastAsia="黑体" w:cs="黑体"/>
          <w:bCs/>
          <w:color w:val="auto"/>
          <w:sz w:val="44"/>
          <w:szCs w:val="44"/>
          <w:highlight w:val="none"/>
          <w:lang w:val="zh-CN"/>
        </w:rPr>
        <w:t>年度部门决算表</w:t>
      </w:r>
    </w:p>
    <w:p>
      <w:pPr>
        <w:keepNext w:val="0"/>
        <w:keepLines w:val="0"/>
        <w:pageBreakBefore w:val="0"/>
        <w:kinsoku/>
        <w:wordWrap/>
        <w:overflowPunct/>
        <w:topLinePunct w:val="0"/>
        <w:bidi w:val="0"/>
        <w:spacing w:line="600" w:lineRule="exact"/>
        <w:ind w:firstLine="640" w:firstLineChars="20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（详情见附件）</w:t>
      </w:r>
    </w:p>
    <w:p>
      <w:pPr>
        <w:keepNext w:val="0"/>
        <w:keepLines w:val="0"/>
        <w:pageBreakBefore w:val="0"/>
        <w:kinsoku/>
        <w:wordWrap/>
        <w:overflowPunct/>
        <w:topLinePunct w:val="0"/>
        <w:bidi w:val="0"/>
        <w:spacing w:line="600" w:lineRule="exact"/>
        <w:textAlignment w:val="auto"/>
        <w:rPr>
          <w:rFonts w:ascii="Times New Roman" w:hAnsi="Times New Roman" w:eastAsia="方正大标宋简体" w:cs="Times New Roman"/>
          <w:bCs/>
          <w:color w:val="auto"/>
          <w:spacing w:val="-10"/>
          <w:sz w:val="44"/>
          <w:szCs w:val="44"/>
          <w:highlight w:val="none"/>
          <w:lang w:val="zh-CN"/>
        </w:rPr>
      </w:pPr>
    </w:p>
    <w:p>
      <w:pPr>
        <w:keepNext w:val="0"/>
        <w:keepLines w:val="0"/>
        <w:pageBreakBefore w:val="0"/>
        <w:widowControl/>
        <w:kinsoku/>
        <w:wordWrap/>
        <w:overflowPunct/>
        <w:topLinePunct w:val="0"/>
        <w:bidi w:val="0"/>
        <w:spacing w:line="600" w:lineRule="exact"/>
        <w:jc w:val="center"/>
        <w:textAlignment w:val="auto"/>
        <w:rPr>
          <w:rFonts w:hint="eastAsia" w:ascii="黑体" w:eastAsia="黑体" w:cs="黑体"/>
          <w:color w:val="auto"/>
          <w:kern w:val="0"/>
          <w:sz w:val="70"/>
          <w:szCs w:val="70"/>
          <w:highlight w:val="none"/>
        </w:rPr>
      </w:pPr>
      <w:r>
        <w:rPr>
          <w:rFonts w:hint="eastAsia" w:ascii="黑体" w:hAnsi="黑体" w:eastAsia="黑体" w:cs="黑体"/>
          <w:b w:val="0"/>
          <w:bCs/>
          <w:color w:val="auto"/>
          <w:kern w:val="0"/>
          <w:sz w:val="44"/>
          <w:szCs w:val="44"/>
          <w:highlight w:val="none"/>
        </w:rPr>
        <w:t xml:space="preserve">第三部分 </w:t>
      </w:r>
      <w:r>
        <w:rPr>
          <w:rFonts w:hint="eastAsia" w:ascii="黑体" w:hAnsi="黑体" w:eastAsia="黑体" w:cs="黑体"/>
          <w:b w:val="0"/>
          <w:bCs/>
          <w:color w:val="auto"/>
          <w:kern w:val="0"/>
          <w:sz w:val="44"/>
          <w:szCs w:val="44"/>
          <w:highlight w:val="none"/>
          <w:lang w:val="en-US" w:eastAsia="zh-CN"/>
        </w:rPr>
        <w:t>2020</w:t>
      </w:r>
      <w:r>
        <w:rPr>
          <w:rFonts w:hint="eastAsia" w:ascii="黑体" w:hAnsi="黑体" w:eastAsia="黑体" w:cs="黑体"/>
          <w:b w:val="0"/>
          <w:bCs/>
          <w:color w:val="auto"/>
          <w:kern w:val="0"/>
          <w:sz w:val="44"/>
          <w:szCs w:val="44"/>
          <w:highlight w:val="none"/>
        </w:rPr>
        <w:t>年度部门决算情况说明</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rPr>
        <w:t>一、收入支出决算总体情况说明</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bCs/>
          <w:color w:val="auto"/>
          <w:sz w:val="32"/>
          <w:szCs w:val="32"/>
          <w:highlight w:val="none"/>
          <w:u w:val="none"/>
          <w:lang w:val="en-US" w:eastAsia="zh-CN"/>
        </w:rPr>
        <w:t>2020</w:t>
      </w:r>
      <w:r>
        <w:rPr>
          <w:rFonts w:hint="eastAsia" w:ascii="仿宋" w:hAnsi="仿宋" w:eastAsia="仿宋" w:cs="仿宋"/>
          <w:bCs/>
          <w:color w:val="auto"/>
          <w:sz w:val="32"/>
          <w:szCs w:val="32"/>
          <w:highlight w:val="none"/>
          <w:u w:val="none"/>
        </w:rPr>
        <w:t>年度</w:t>
      </w:r>
      <w:r>
        <w:rPr>
          <w:rFonts w:hint="eastAsia" w:ascii="仿宋" w:hAnsi="仿宋" w:eastAsia="仿宋" w:cs="仿宋"/>
          <w:color w:val="auto"/>
          <w:sz w:val="32"/>
          <w:szCs w:val="32"/>
          <w:highlight w:val="none"/>
          <w:u w:val="none"/>
        </w:rPr>
        <w:t>收</w:t>
      </w:r>
      <w:r>
        <w:rPr>
          <w:rFonts w:hint="eastAsia" w:ascii="仿宋" w:hAnsi="仿宋" w:eastAsia="仿宋" w:cs="仿宋"/>
          <w:color w:val="auto"/>
          <w:sz w:val="32"/>
          <w:szCs w:val="32"/>
          <w:highlight w:val="none"/>
          <w:u w:val="none"/>
          <w:lang w:val="en-US" w:eastAsia="zh-CN"/>
        </w:rPr>
        <w:t>入总计</w:t>
      </w:r>
      <w:r>
        <w:rPr>
          <w:rFonts w:hint="eastAsia" w:ascii="仿宋" w:hAnsi="仿宋" w:eastAsia="仿宋" w:cs="仿宋"/>
          <w:color w:val="auto"/>
          <w:sz w:val="32"/>
          <w:szCs w:val="32"/>
          <w:highlight w:val="none"/>
          <w:u w:val="none"/>
          <w:lang w:val="en-US" w:eastAsia="zh-CN"/>
        </w:rPr>
        <w:t>8859.14</w:t>
      </w:r>
      <w:r>
        <w:rPr>
          <w:rFonts w:hint="eastAsia" w:ascii="仿宋" w:hAnsi="仿宋" w:eastAsia="仿宋" w:cs="仿宋"/>
          <w:color w:val="auto"/>
          <w:sz w:val="32"/>
          <w:szCs w:val="32"/>
          <w:highlight w:val="none"/>
          <w:u w:val="none"/>
          <w:lang w:val="en-US" w:eastAsia="zh-CN"/>
        </w:rPr>
        <w:t>万元、</w:t>
      </w:r>
      <w:r>
        <w:rPr>
          <w:rFonts w:hint="eastAsia" w:ascii="仿宋" w:hAnsi="仿宋" w:eastAsia="仿宋" w:cs="仿宋"/>
          <w:color w:val="auto"/>
          <w:sz w:val="32"/>
          <w:szCs w:val="32"/>
          <w:highlight w:val="none"/>
          <w:u w:val="none"/>
        </w:rPr>
        <w:t>支</w:t>
      </w:r>
      <w:r>
        <w:rPr>
          <w:rFonts w:hint="eastAsia" w:ascii="仿宋" w:hAnsi="仿宋" w:eastAsia="仿宋" w:cs="仿宋"/>
          <w:color w:val="auto"/>
          <w:sz w:val="32"/>
          <w:szCs w:val="32"/>
          <w:highlight w:val="none"/>
          <w:u w:val="none"/>
          <w:lang w:val="en-US" w:eastAsia="zh-CN"/>
        </w:rPr>
        <w:t>出</w:t>
      </w:r>
      <w:r>
        <w:rPr>
          <w:rFonts w:hint="eastAsia" w:ascii="仿宋" w:hAnsi="仿宋" w:eastAsia="仿宋" w:cs="仿宋"/>
          <w:color w:val="auto"/>
          <w:sz w:val="32"/>
          <w:szCs w:val="32"/>
          <w:highlight w:val="none"/>
          <w:u w:val="none"/>
        </w:rPr>
        <w:t>总计</w:t>
      </w:r>
      <w:r>
        <w:rPr>
          <w:rFonts w:hint="eastAsia" w:ascii="仿宋" w:hAnsi="仿宋" w:eastAsia="仿宋" w:cs="仿宋"/>
          <w:color w:val="auto"/>
          <w:sz w:val="32"/>
          <w:szCs w:val="32"/>
          <w:highlight w:val="none"/>
          <w:u w:val="none"/>
          <w:lang w:val="en-US" w:eastAsia="zh-CN"/>
        </w:rPr>
        <w:t>8859.14</w:t>
      </w:r>
      <w:r>
        <w:rPr>
          <w:rFonts w:hint="eastAsia" w:ascii="仿宋" w:hAnsi="仿宋" w:eastAsia="仿宋" w:cs="仿宋"/>
          <w:color w:val="auto"/>
          <w:sz w:val="32"/>
          <w:szCs w:val="32"/>
          <w:highlight w:val="none"/>
          <w:u w:val="none"/>
        </w:rPr>
        <w:t>万元。与201</w:t>
      </w:r>
      <w:r>
        <w:rPr>
          <w:rFonts w:hint="eastAsia" w:ascii="仿宋" w:hAnsi="仿宋" w:eastAsia="仿宋" w:cs="仿宋"/>
          <w:color w:val="auto"/>
          <w:sz w:val="32"/>
          <w:szCs w:val="32"/>
          <w:highlight w:val="none"/>
          <w:u w:val="none"/>
          <w:lang w:val="en-US" w:eastAsia="zh-CN"/>
        </w:rPr>
        <w:t>9</w:t>
      </w:r>
      <w:r>
        <w:rPr>
          <w:rFonts w:hint="eastAsia" w:ascii="仿宋" w:hAnsi="仿宋" w:eastAsia="仿宋" w:cs="仿宋"/>
          <w:color w:val="auto"/>
          <w:sz w:val="32"/>
          <w:szCs w:val="32"/>
          <w:highlight w:val="none"/>
          <w:u w:val="none"/>
        </w:rPr>
        <w:t>年相比，</w:t>
      </w:r>
      <w:r>
        <w:rPr>
          <w:rFonts w:hint="eastAsia" w:ascii="仿宋" w:hAnsi="仿宋" w:eastAsia="仿宋" w:cs="仿宋"/>
          <w:color w:val="auto"/>
          <w:sz w:val="32"/>
          <w:szCs w:val="32"/>
          <w:highlight w:val="none"/>
          <w:u w:val="none"/>
          <w:lang w:val="en-US" w:eastAsia="zh-CN"/>
        </w:rPr>
        <w:t>收入</w:t>
      </w:r>
      <w:r>
        <w:rPr>
          <w:rFonts w:hint="eastAsia" w:ascii="仿宋" w:hAnsi="仿宋" w:eastAsia="仿宋" w:cs="仿宋"/>
          <w:color w:val="auto"/>
          <w:sz w:val="32"/>
          <w:szCs w:val="32"/>
          <w:highlight w:val="none"/>
          <w:u w:val="none"/>
        </w:rPr>
        <w:t>增加</w:t>
      </w:r>
      <w:r>
        <w:rPr>
          <w:rFonts w:hint="eastAsia" w:ascii="仿宋" w:hAnsi="仿宋" w:eastAsia="仿宋" w:cs="仿宋"/>
          <w:color w:val="auto"/>
          <w:sz w:val="32"/>
          <w:szCs w:val="32"/>
          <w:highlight w:val="none"/>
          <w:u w:val="none"/>
          <w:lang w:val="en-US" w:eastAsia="zh-CN"/>
        </w:rPr>
        <w:t>2900.96</w:t>
      </w:r>
      <w:r>
        <w:rPr>
          <w:rFonts w:hint="eastAsia" w:ascii="仿宋" w:hAnsi="仿宋" w:eastAsia="仿宋" w:cs="仿宋"/>
          <w:color w:val="auto"/>
          <w:sz w:val="32"/>
          <w:szCs w:val="32"/>
          <w:highlight w:val="none"/>
          <w:u w:val="none"/>
        </w:rPr>
        <w:t>万元</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支出</w:t>
      </w:r>
      <w:r>
        <w:rPr>
          <w:rFonts w:hint="eastAsia" w:ascii="仿宋" w:hAnsi="仿宋" w:eastAsia="仿宋" w:cs="仿宋"/>
          <w:color w:val="auto"/>
          <w:sz w:val="32"/>
          <w:szCs w:val="32"/>
          <w:highlight w:val="none"/>
          <w:u w:val="none"/>
        </w:rPr>
        <w:t>增加</w:t>
      </w:r>
      <w:r>
        <w:rPr>
          <w:rFonts w:hint="eastAsia" w:ascii="仿宋" w:hAnsi="仿宋" w:eastAsia="仿宋" w:cs="仿宋"/>
          <w:color w:val="auto"/>
          <w:sz w:val="32"/>
          <w:szCs w:val="32"/>
          <w:highlight w:val="none"/>
          <w:u w:val="none"/>
          <w:lang w:val="en-US" w:eastAsia="zh-CN"/>
        </w:rPr>
        <w:t>2900.96</w:t>
      </w:r>
      <w:r>
        <w:rPr>
          <w:rFonts w:hint="eastAsia" w:ascii="仿宋" w:hAnsi="仿宋" w:eastAsia="仿宋" w:cs="仿宋"/>
          <w:color w:val="auto"/>
          <w:sz w:val="32"/>
          <w:szCs w:val="32"/>
          <w:highlight w:val="none"/>
          <w:u w:val="none"/>
        </w:rPr>
        <w:t>万元，</w:t>
      </w:r>
      <w:r>
        <w:rPr>
          <w:rFonts w:hint="eastAsia" w:ascii="仿宋" w:hAnsi="仿宋" w:eastAsia="仿宋" w:cs="仿宋"/>
          <w:color w:val="auto"/>
          <w:sz w:val="32"/>
          <w:szCs w:val="32"/>
          <w:highlight w:val="none"/>
          <w:u w:val="none"/>
          <w:lang w:val="en-US" w:eastAsia="zh-CN"/>
        </w:rPr>
        <w:t>收入</w:t>
      </w:r>
      <w:r>
        <w:rPr>
          <w:rFonts w:hint="eastAsia" w:ascii="仿宋" w:hAnsi="仿宋" w:eastAsia="仿宋" w:cs="仿宋"/>
          <w:color w:val="auto"/>
          <w:sz w:val="32"/>
          <w:szCs w:val="32"/>
          <w:highlight w:val="none"/>
          <w:u w:val="none"/>
        </w:rPr>
        <w:t>增长</w:t>
      </w:r>
      <w:r>
        <w:rPr>
          <w:rFonts w:hint="eastAsia" w:ascii="仿宋" w:hAnsi="仿宋" w:eastAsia="仿宋" w:cs="仿宋"/>
          <w:color w:val="auto"/>
          <w:sz w:val="32"/>
          <w:szCs w:val="32"/>
          <w:highlight w:val="none"/>
          <w:u w:val="none"/>
          <w:lang w:val="en-US" w:eastAsia="zh-CN"/>
        </w:rPr>
        <w:t>49.52</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支出</w:t>
      </w:r>
      <w:r>
        <w:rPr>
          <w:rFonts w:hint="eastAsia" w:ascii="仿宋" w:hAnsi="仿宋" w:eastAsia="仿宋" w:cs="仿宋"/>
          <w:color w:val="auto"/>
          <w:sz w:val="32"/>
          <w:szCs w:val="32"/>
          <w:highlight w:val="none"/>
          <w:u w:val="none"/>
        </w:rPr>
        <w:t>增长</w:t>
      </w:r>
      <w:r>
        <w:rPr>
          <w:rFonts w:hint="eastAsia" w:ascii="仿宋" w:hAnsi="仿宋" w:eastAsia="仿宋" w:cs="仿宋"/>
          <w:color w:val="auto"/>
          <w:sz w:val="32"/>
          <w:szCs w:val="32"/>
          <w:highlight w:val="none"/>
          <w:u w:val="none"/>
          <w:lang w:val="en-US" w:eastAsia="zh-CN"/>
        </w:rPr>
        <w:t>49.52</w:t>
      </w:r>
      <w:r>
        <w:rPr>
          <w:rFonts w:hint="eastAsia" w:ascii="仿宋" w:hAnsi="仿宋" w:eastAsia="仿宋" w:cs="仿宋"/>
          <w:color w:val="auto"/>
          <w:sz w:val="32"/>
          <w:szCs w:val="32"/>
          <w:highlight w:val="none"/>
          <w:u w:val="none"/>
        </w:rPr>
        <w:t>%，主要是因为</w:t>
      </w:r>
      <w:r>
        <w:rPr>
          <w:rFonts w:hint="eastAsia" w:ascii="仿宋" w:hAnsi="仿宋" w:eastAsia="仿宋" w:cs="仿宋"/>
          <w:color w:val="auto"/>
          <w:sz w:val="32"/>
          <w:szCs w:val="32"/>
          <w:highlight w:val="none"/>
          <w:u w:val="none"/>
          <w:lang w:val="en-US" w:eastAsia="zh-CN"/>
        </w:rPr>
        <w:t>省、市级专项资金</w:t>
      </w:r>
      <w:r>
        <w:rPr>
          <w:rFonts w:hint="eastAsia" w:ascii="仿宋" w:hAnsi="仿宋" w:eastAsia="仿宋" w:cs="仿宋"/>
          <w:color w:val="auto"/>
          <w:sz w:val="32"/>
          <w:szCs w:val="32"/>
          <w:highlight w:val="none"/>
          <w:u w:val="none"/>
          <w:lang w:val="en-US" w:eastAsia="zh-CN"/>
        </w:rPr>
        <w:t>增加</w:t>
      </w:r>
      <w:r>
        <w:rPr>
          <w:rFonts w:hint="eastAsia" w:ascii="仿宋" w:hAnsi="仿宋" w:eastAsia="仿宋" w:cs="仿宋"/>
          <w:color w:val="auto"/>
          <w:sz w:val="32"/>
          <w:szCs w:val="32"/>
          <w:highlight w:val="none"/>
          <w:u w:val="none"/>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b/>
          <w:bCs/>
          <w:color w:val="auto"/>
          <w:sz w:val="32"/>
          <w:szCs w:val="32"/>
          <w:highlight w:val="none"/>
          <w:u w:val="none"/>
        </w:rPr>
      </w:pPr>
      <w:r>
        <w:rPr>
          <w:rFonts w:hint="eastAsia" w:ascii="黑体" w:hAnsi="黑体" w:eastAsia="黑体" w:cs="黑体"/>
          <w:b w:val="0"/>
          <w:bCs w:val="0"/>
          <w:color w:val="auto"/>
          <w:sz w:val="32"/>
          <w:szCs w:val="32"/>
          <w:highlight w:val="none"/>
          <w:u w:val="none"/>
        </w:rPr>
        <w:t>二、收入决算情况说明</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本年收入合计</w:t>
      </w:r>
      <w:r>
        <w:rPr>
          <w:rFonts w:hint="eastAsia" w:ascii="仿宋" w:hAnsi="仿宋" w:eastAsia="仿宋" w:cs="仿宋"/>
          <w:color w:val="auto"/>
          <w:sz w:val="32"/>
          <w:szCs w:val="32"/>
          <w:highlight w:val="none"/>
          <w:u w:val="none"/>
          <w:lang w:val="en-US" w:eastAsia="zh-CN"/>
        </w:rPr>
        <w:t>7881.48</w:t>
      </w:r>
      <w:r>
        <w:rPr>
          <w:rFonts w:hint="eastAsia" w:ascii="仿宋" w:hAnsi="仿宋" w:eastAsia="仿宋" w:cs="仿宋"/>
          <w:color w:val="auto"/>
          <w:sz w:val="32"/>
          <w:szCs w:val="32"/>
          <w:highlight w:val="none"/>
          <w:u w:val="none"/>
        </w:rPr>
        <w:t>万元，其中：财政拨款收入</w:t>
      </w:r>
      <w:r>
        <w:rPr>
          <w:rFonts w:hint="eastAsia" w:ascii="仿宋" w:hAnsi="仿宋" w:eastAsia="仿宋" w:cs="仿宋"/>
          <w:color w:val="auto"/>
          <w:sz w:val="32"/>
          <w:szCs w:val="32"/>
          <w:highlight w:val="none"/>
          <w:u w:val="none"/>
          <w:lang w:val="en-US" w:eastAsia="zh-CN"/>
        </w:rPr>
        <w:t>7881.48</w:t>
      </w:r>
      <w:r>
        <w:rPr>
          <w:rFonts w:hint="eastAsia" w:ascii="仿宋" w:hAnsi="仿宋" w:eastAsia="仿宋" w:cs="仿宋"/>
          <w:color w:val="auto"/>
          <w:sz w:val="32"/>
          <w:szCs w:val="32"/>
          <w:highlight w:val="none"/>
          <w:u w:val="none"/>
        </w:rPr>
        <w:t xml:space="preserve">  万元，占</w:t>
      </w:r>
      <w:r>
        <w:rPr>
          <w:rFonts w:hint="eastAsia" w:ascii="仿宋" w:hAnsi="仿宋" w:eastAsia="仿宋" w:cs="仿宋"/>
          <w:color w:val="auto"/>
          <w:sz w:val="32"/>
          <w:szCs w:val="32"/>
          <w:highlight w:val="none"/>
          <w:u w:val="none"/>
          <w:lang w:val="en-US" w:eastAsia="zh-CN"/>
        </w:rPr>
        <w:t>100</w:t>
      </w:r>
      <w:r>
        <w:rPr>
          <w:rFonts w:hint="eastAsia" w:ascii="仿宋" w:hAnsi="仿宋" w:eastAsia="仿宋" w:cs="仿宋"/>
          <w:color w:val="auto"/>
          <w:sz w:val="32"/>
          <w:szCs w:val="32"/>
          <w:highlight w:val="none"/>
          <w:u w:val="none"/>
        </w:rPr>
        <w:t xml:space="preserve"> %；上级补助收入</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%；事业收入</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%；经营收入</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%；附属单位上缴收入</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%；其他收入</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rPr>
        <w:t>三、支出决算情况说明</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本年支出合计</w:t>
      </w:r>
      <w:r>
        <w:rPr>
          <w:rFonts w:hint="eastAsia" w:ascii="仿宋" w:hAnsi="仿宋" w:eastAsia="仿宋" w:cs="仿宋"/>
          <w:color w:val="auto"/>
          <w:sz w:val="32"/>
          <w:szCs w:val="32"/>
          <w:highlight w:val="none"/>
          <w:u w:val="none"/>
          <w:lang w:val="en-US" w:eastAsia="zh-CN"/>
        </w:rPr>
        <w:t>7349.14</w:t>
      </w:r>
      <w:r>
        <w:rPr>
          <w:rFonts w:hint="eastAsia" w:ascii="仿宋" w:hAnsi="仿宋" w:eastAsia="仿宋" w:cs="仿宋"/>
          <w:color w:val="auto"/>
          <w:sz w:val="32"/>
          <w:szCs w:val="32"/>
          <w:highlight w:val="none"/>
          <w:u w:val="none"/>
        </w:rPr>
        <w:t>万元，其中：基本支出</w:t>
      </w:r>
      <w:r>
        <w:rPr>
          <w:rFonts w:hint="eastAsia" w:ascii="仿宋" w:hAnsi="仿宋" w:eastAsia="仿宋" w:cs="仿宋"/>
          <w:color w:val="auto"/>
          <w:sz w:val="32"/>
          <w:szCs w:val="32"/>
          <w:highlight w:val="none"/>
          <w:u w:val="none"/>
          <w:lang w:val="en-US" w:eastAsia="zh-CN"/>
        </w:rPr>
        <w:t>718.03</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9.77</w:t>
      </w:r>
      <w:r>
        <w:rPr>
          <w:rFonts w:hint="eastAsia" w:ascii="仿宋" w:hAnsi="仿宋" w:eastAsia="仿宋" w:cs="仿宋"/>
          <w:color w:val="auto"/>
          <w:sz w:val="32"/>
          <w:szCs w:val="32"/>
          <w:highlight w:val="none"/>
          <w:u w:val="none"/>
        </w:rPr>
        <w:t>%；项目支出</w:t>
      </w:r>
      <w:r>
        <w:rPr>
          <w:rFonts w:hint="eastAsia" w:ascii="仿宋" w:hAnsi="仿宋" w:eastAsia="仿宋" w:cs="仿宋"/>
          <w:color w:val="auto"/>
          <w:sz w:val="32"/>
          <w:szCs w:val="32"/>
          <w:highlight w:val="none"/>
          <w:u w:val="none"/>
          <w:lang w:val="en-US" w:eastAsia="zh-CN"/>
        </w:rPr>
        <w:t>6631.11</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90.23</w:t>
      </w:r>
      <w:r>
        <w:rPr>
          <w:rFonts w:hint="eastAsia" w:ascii="仿宋" w:hAnsi="仿宋" w:eastAsia="仿宋" w:cs="仿宋"/>
          <w:color w:val="auto"/>
          <w:sz w:val="32"/>
          <w:szCs w:val="32"/>
          <w:highlight w:val="none"/>
          <w:u w:val="none"/>
        </w:rPr>
        <w:t xml:space="preserve"> %；上缴上级支出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%；经营支出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%；对附属单位补助支出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rPr>
        <w:t>四、财政拨款收入支出决算总体情况说明</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2020</w:t>
      </w:r>
      <w:r>
        <w:rPr>
          <w:rFonts w:hint="eastAsia" w:ascii="仿宋" w:hAnsi="仿宋" w:eastAsia="仿宋" w:cs="仿宋"/>
          <w:color w:val="auto"/>
          <w:sz w:val="32"/>
          <w:szCs w:val="32"/>
          <w:highlight w:val="none"/>
          <w:u w:val="none"/>
        </w:rPr>
        <w:t>年度财政拨款收</w:t>
      </w:r>
      <w:r>
        <w:rPr>
          <w:rFonts w:hint="eastAsia" w:ascii="仿宋" w:hAnsi="仿宋" w:eastAsia="仿宋" w:cs="仿宋"/>
          <w:color w:val="auto"/>
          <w:sz w:val="32"/>
          <w:szCs w:val="32"/>
          <w:highlight w:val="none"/>
          <w:u w:val="none"/>
          <w:lang w:val="en-US" w:eastAsia="zh-CN"/>
        </w:rPr>
        <w:t>入总计</w:t>
      </w:r>
      <w:r>
        <w:rPr>
          <w:rFonts w:hint="eastAsia" w:ascii="仿宋" w:hAnsi="仿宋" w:eastAsia="仿宋" w:cs="仿宋"/>
          <w:color w:val="auto"/>
          <w:sz w:val="32"/>
          <w:szCs w:val="32"/>
          <w:highlight w:val="none"/>
          <w:u w:val="none"/>
          <w:lang w:val="en-US" w:eastAsia="zh-CN"/>
        </w:rPr>
        <w:t>8859.14</w:t>
      </w:r>
      <w:r>
        <w:rPr>
          <w:rFonts w:hint="eastAsia" w:ascii="仿宋" w:hAnsi="仿宋" w:eastAsia="仿宋" w:cs="仿宋"/>
          <w:color w:val="auto"/>
          <w:sz w:val="32"/>
          <w:szCs w:val="32"/>
          <w:highlight w:val="none"/>
          <w:u w:val="none"/>
          <w:lang w:val="en-US" w:eastAsia="zh-CN"/>
        </w:rPr>
        <w:t>万元、</w:t>
      </w:r>
      <w:r>
        <w:rPr>
          <w:rFonts w:hint="eastAsia" w:ascii="仿宋" w:hAnsi="仿宋" w:eastAsia="仿宋" w:cs="仿宋"/>
          <w:color w:val="auto"/>
          <w:sz w:val="32"/>
          <w:szCs w:val="32"/>
          <w:highlight w:val="none"/>
          <w:u w:val="none"/>
        </w:rPr>
        <w:t>支</w:t>
      </w:r>
      <w:r>
        <w:rPr>
          <w:rFonts w:hint="eastAsia" w:ascii="仿宋" w:hAnsi="仿宋" w:eastAsia="仿宋" w:cs="仿宋"/>
          <w:color w:val="auto"/>
          <w:sz w:val="32"/>
          <w:szCs w:val="32"/>
          <w:highlight w:val="none"/>
          <w:u w:val="none"/>
          <w:lang w:val="en-US" w:eastAsia="zh-CN"/>
        </w:rPr>
        <w:t>出</w:t>
      </w:r>
      <w:r>
        <w:rPr>
          <w:rFonts w:hint="eastAsia" w:ascii="仿宋" w:hAnsi="仿宋" w:eastAsia="仿宋" w:cs="仿宋"/>
          <w:color w:val="auto"/>
          <w:sz w:val="32"/>
          <w:szCs w:val="32"/>
          <w:highlight w:val="none"/>
          <w:u w:val="none"/>
        </w:rPr>
        <w:t>总计</w:t>
      </w:r>
      <w:r>
        <w:rPr>
          <w:rFonts w:hint="eastAsia" w:ascii="仿宋" w:hAnsi="仿宋" w:eastAsia="仿宋" w:cs="仿宋"/>
          <w:color w:val="auto"/>
          <w:sz w:val="32"/>
          <w:szCs w:val="32"/>
          <w:highlight w:val="none"/>
          <w:u w:val="none"/>
          <w:lang w:val="en-US" w:eastAsia="zh-CN"/>
        </w:rPr>
        <w:t>8859.14</w:t>
      </w:r>
      <w:r>
        <w:rPr>
          <w:rFonts w:hint="eastAsia" w:ascii="仿宋" w:hAnsi="仿宋" w:eastAsia="仿宋" w:cs="仿宋"/>
          <w:color w:val="auto"/>
          <w:sz w:val="32"/>
          <w:szCs w:val="32"/>
          <w:highlight w:val="none"/>
          <w:u w:val="none"/>
        </w:rPr>
        <w:t>万元。与201</w:t>
      </w:r>
      <w:r>
        <w:rPr>
          <w:rFonts w:hint="eastAsia" w:ascii="仿宋" w:hAnsi="仿宋" w:eastAsia="仿宋" w:cs="仿宋"/>
          <w:color w:val="auto"/>
          <w:sz w:val="32"/>
          <w:szCs w:val="32"/>
          <w:highlight w:val="none"/>
          <w:u w:val="none"/>
          <w:lang w:val="en-US" w:eastAsia="zh-CN"/>
        </w:rPr>
        <w:t>9</w:t>
      </w:r>
      <w:r>
        <w:rPr>
          <w:rFonts w:hint="eastAsia" w:ascii="仿宋" w:hAnsi="仿宋" w:eastAsia="仿宋" w:cs="仿宋"/>
          <w:color w:val="auto"/>
          <w:sz w:val="32"/>
          <w:szCs w:val="32"/>
          <w:highlight w:val="none"/>
          <w:u w:val="none"/>
        </w:rPr>
        <w:t>年相比，</w:t>
      </w:r>
      <w:r>
        <w:rPr>
          <w:rFonts w:hint="eastAsia" w:ascii="仿宋" w:hAnsi="仿宋" w:eastAsia="仿宋" w:cs="仿宋"/>
          <w:color w:val="auto"/>
          <w:sz w:val="32"/>
          <w:szCs w:val="32"/>
          <w:highlight w:val="none"/>
          <w:u w:val="none"/>
          <w:lang w:val="en-US" w:eastAsia="zh-CN"/>
        </w:rPr>
        <w:t>收入</w:t>
      </w:r>
      <w:r>
        <w:rPr>
          <w:rFonts w:hint="eastAsia" w:ascii="仿宋" w:hAnsi="仿宋" w:eastAsia="仿宋" w:cs="仿宋"/>
          <w:color w:val="auto"/>
          <w:sz w:val="32"/>
          <w:szCs w:val="32"/>
          <w:highlight w:val="none"/>
          <w:u w:val="none"/>
        </w:rPr>
        <w:t>增加</w:t>
      </w:r>
      <w:r>
        <w:rPr>
          <w:rFonts w:hint="eastAsia" w:ascii="仿宋" w:hAnsi="仿宋" w:eastAsia="仿宋" w:cs="仿宋"/>
          <w:color w:val="auto"/>
          <w:sz w:val="32"/>
          <w:szCs w:val="32"/>
          <w:highlight w:val="none"/>
          <w:u w:val="none"/>
          <w:lang w:val="en-US" w:eastAsia="zh-CN"/>
        </w:rPr>
        <w:t>2900.96</w:t>
      </w:r>
      <w:r>
        <w:rPr>
          <w:rFonts w:hint="eastAsia" w:ascii="仿宋" w:hAnsi="仿宋" w:eastAsia="仿宋" w:cs="仿宋"/>
          <w:color w:val="auto"/>
          <w:sz w:val="32"/>
          <w:szCs w:val="32"/>
          <w:highlight w:val="none"/>
          <w:u w:val="none"/>
        </w:rPr>
        <w:t>万元</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支出</w:t>
      </w:r>
      <w:r>
        <w:rPr>
          <w:rFonts w:hint="eastAsia" w:ascii="仿宋" w:hAnsi="仿宋" w:eastAsia="仿宋" w:cs="仿宋"/>
          <w:color w:val="auto"/>
          <w:sz w:val="32"/>
          <w:szCs w:val="32"/>
          <w:highlight w:val="none"/>
          <w:u w:val="none"/>
        </w:rPr>
        <w:t>增加</w:t>
      </w:r>
      <w:r>
        <w:rPr>
          <w:rFonts w:hint="eastAsia" w:ascii="仿宋" w:hAnsi="仿宋" w:eastAsia="仿宋" w:cs="仿宋"/>
          <w:color w:val="auto"/>
          <w:sz w:val="32"/>
          <w:szCs w:val="32"/>
          <w:highlight w:val="none"/>
          <w:u w:val="none"/>
          <w:lang w:val="en-US" w:eastAsia="zh-CN"/>
        </w:rPr>
        <w:t>2900.96</w:t>
      </w:r>
      <w:r>
        <w:rPr>
          <w:rFonts w:hint="eastAsia" w:ascii="仿宋" w:hAnsi="仿宋" w:eastAsia="仿宋" w:cs="仿宋"/>
          <w:color w:val="auto"/>
          <w:sz w:val="32"/>
          <w:szCs w:val="32"/>
          <w:highlight w:val="none"/>
          <w:u w:val="none"/>
        </w:rPr>
        <w:t>万元，</w:t>
      </w:r>
      <w:r>
        <w:rPr>
          <w:rFonts w:hint="eastAsia" w:ascii="仿宋" w:hAnsi="仿宋" w:eastAsia="仿宋" w:cs="仿宋"/>
          <w:color w:val="auto"/>
          <w:sz w:val="32"/>
          <w:szCs w:val="32"/>
          <w:highlight w:val="none"/>
          <w:u w:val="none"/>
          <w:lang w:val="en-US" w:eastAsia="zh-CN"/>
        </w:rPr>
        <w:t>收入</w:t>
      </w:r>
      <w:r>
        <w:rPr>
          <w:rFonts w:hint="eastAsia" w:ascii="仿宋" w:hAnsi="仿宋" w:eastAsia="仿宋" w:cs="仿宋"/>
          <w:color w:val="auto"/>
          <w:sz w:val="32"/>
          <w:szCs w:val="32"/>
          <w:highlight w:val="none"/>
          <w:u w:val="none"/>
        </w:rPr>
        <w:t>增长</w:t>
      </w:r>
      <w:r>
        <w:rPr>
          <w:rFonts w:hint="eastAsia" w:ascii="仿宋" w:hAnsi="仿宋" w:eastAsia="仿宋" w:cs="仿宋"/>
          <w:color w:val="auto"/>
          <w:sz w:val="32"/>
          <w:szCs w:val="32"/>
          <w:highlight w:val="none"/>
          <w:u w:val="none"/>
          <w:lang w:val="en-US" w:eastAsia="zh-CN"/>
        </w:rPr>
        <w:t>49.52</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支出</w:t>
      </w:r>
      <w:r>
        <w:rPr>
          <w:rFonts w:hint="eastAsia" w:ascii="仿宋" w:hAnsi="仿宋" w:eastAsia="仿宋" w:cs="仿宋"/>
          <w:color w:val="auto"/>
          <w:sz w:val="32"/>
          <w:szCs w:val="32"/>
          <w:highlight w:val="none"/>
          <w:u w:val="none"/>
        </w:rPr>
        <w:t>增长</w:t>
      </w:r>
      <w:r>
        <w:rPr>
          <w:rFonts w:hint="eastAsia" w:ascii="仿宋" w:hAnsi="仿宋" w:eastAsia="仿宋" w:cs="仿宋"/>
          <w:color w:val="auto"/>
          <w:sz w:val="32"/>
          <w:szCs w:val="32"/>
          <w:highlight w:val="none"/>
          <w:u w:val="none"/>
          <w:lang w:val="en-US" w:eastAsia="zh-CN"/>
        </w:rPr>
        <w:t>49.52</w:t>
      </w:r>
      <w:r>
        <w:rPr>
          <w:rFonts w:hint="eastAsia" w:ascii="仿宋" w:hAnsi="仿宋" w:eastAsia="仿宋" w:cs="仿宋"/>
          <w:color w:val="auto"/>
          <w:sz w:val="32"/>
          <w:szCs w:val="32"/>
          <w:highlight w:val="none"/>
          <w:u w:val="none"/>
        </w:rPr>
        <w:t>%，主要是因为</w:t>
      </w:r>
      <w:r>
        <w:rPr>
          <w:rFonts w:hint="eastAsia" w:ascii="仿宋" w:hAnsi="仿宋" w:eastAsia="仿宋" w:cs="仿宋"/>
          <w:color w:val="auto"/>
          <w:sz w:val="32"/>
          <w:szCs w:val="32"/>
          <w:highlight w:val="none"/>
          <w:u w:val="none"/>
          <w:lang w:val="en-US" w:eastAsia="zh-CN"/>
        </w:rPr>
        <w:t>省、市级专项资金</w:t>
      </w:r>
      <w:r>
        <w:rPr>
          <w:rFonts w:hint="eastAsia" w:ascii="仿宋" w:hAnsi="仿宋" w:eastAsia="仿宋" w:cs="仿宋"/>
          <w:color w:val="auto"/>
          <w:sz w:val="32"/>
          <w:szCs w:val="32"/>
          <w:highlight w:val="none"/>
          <w:u w:val="none"/>
          <w:lang w:val="en-US" w:eastAsia="zh-CN"/>
        </w:rPr>
        <w:t>增加</w:t>
      </w:r>
      <w:r>
        <w:rPr>
          <w:rFonts w:hint="eastAsia" w:ascii="仿宋" w:hAnsi="仿宋" w:eastAsia="仿宋" w:cs="仿宋"/>
          <w:color w:val="auto"/>
          <w:sz w:val="32"/>
          <w:szCs w:val="32"/>
          <w:highlight w:val="none"/>
          <w:u w:val="none"/>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五、一般公共预算财政拨款支出决算情况说明</w:t>
      </w:r>
    </w:p>
    <w:p>
      <w:pPr>
        <w:pStyle w:val="9"/>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（一）财政拨款支出决算总体情况</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2020</w:t>
      </w:r>
      <w:r>
        <w:rPr>
          <w:rFonts w:hint="eastAsia" w:ascii="仿宋" w:hAnsi="仿宋" w:eastAsia="仿宋" w:cs="仿宋"/>
          <w:color w:val="auto"/>
          <w:sz w:val="32"/>
          <w:szCs w:val="32"/>
          <w:highlight w:val="none"/>
          <w:u w:val="none"/>
        </w:rPr>
        <w:t xml:space="preserve">年度财政拨款支出 </w:t>
      </w:r>
      <w:r>
        <w:rPr>
          <w:rFonts w:hint="eastAsia" w:ascii="仿宋" w:hAnsi="仿宋" w:eastAsia="仿宋" w:cs="仿宋"/>
          <w:color w:val="auto"/>
          <w:sz w:val="32"/>
          <w:szCs w:val="32"/>
          <w:highlight w:val="none"/>
          <w:u w:val="none"/>
          <w:lang w:val="en-US" w:eastAsia="zh-CN"/>
        </w:rPr>
        <w:t>7349.14</w:t>
      </w:r>
      <w:r>
        <w:rPr>
          <w:rFonts w:hint="eastAsia" w:ascii="仿宋" w:hAnsi="仿宋" w:eastAsia="仿宋" w:cs="仿宋"/>
          <w:color w:val="auto"/>
          <w:sz w:val="32"/>
          <w:szCs w:val="32"/>
          <w:highlight w:val="none"/>
          <w:u w:val="none"/>
        </w:rPr>
        <w:t xml:space="preserve"> 万元，占本年支出合计的 </w:t>
      </w:r>
      <w:r>
        <w:rPr>
          <w:rFonts w:hint="eastAsia" w:ascii="仿宋" w:hAnsi="仿宋" w:eastAsia="仿宋" w:cs="仿宋"/>
          <w:color w:val="auto"/>
          <w:sz w:val="32"/>
          <w:szCs w:val="32"/>
          <w:highlight w:val="none"/>
          <w:u w:val="none"/>
          <w:lang w:val="en-US" w:eastAsia="zh-CN"/>
        </w:rPr>
        <w:t>100</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rPr>
        <w:t>与</w:t>
      </w:r>
      <w:r>
        <w:rPr>
          <w:rFonts w:hint="eastAsia" w:ascii="仿宋" w:hAnsi="仿宋" w:eastAsia="仿宋" w:cs="仿宋"/>
          <w:color w:val="auto"/>
          <w:sz w:val="32"/>
          <w:szCs w:val="32"/>
          <w:highlight w:val="none"/>
          <w:u w:val="none"/>
          <w:lang w:eastAsia="zh-CN"/>
        </w:rPr>
        <w:t>2019年</w:t>
      </w:r>
      <w:r>
        <w:rPr>
          <w:rFonts w:hint="eastAsia" w:ascii="仿宋" w:hAnsi="仿宋" w:eastAsia="仿宋" w:cs="仿宋"/>
          <w:color w:val="auto"/>
          <w:sz w:val="32"/>
          <w:szCs w:val="32"/>
          <w:highlight w:val="none"/>
          <w:u w:val="none"/>
        </w:rPr>
        <w:t>相比，财政拨款支出增加</w:t>
      </w:r>
      <w:r>
        <w:rPr>
          <w:rFonts w:hint="eastAsia" w:ascii="仿宋" w:hAnsi="仿宋" w:eastAsia="仿宋" w:cs="仿宋"/>
          <w:color w:val="auto"/>
          <w:sz w:val="32"/>
          <w:szCs w:val="32"/>
          <w:highlight w:val="none"/>
          <w:u w:val="none"/>
          <w:lang w:val="en-US" w:eastAsia="zh-CN"/>
        </w:rPr>
        <w:t>2380.7</w:t>
      </w:r>
      <w:r>
        <w:rPr>
          <w:rFonts w:hint="eastAsia" w:ascii="仿宋" w:hAnsi="仿宋" w:eastAsia="仿宋" w:cs="仿宋"/>
          <w:color w:val="auto"/>
          <w:sz w:val="32"/>
          <w:szCs w:val="32"/>
          <w:highlight w:val="none"/>
          <w:u w:val="none"/>
        </w:rPr>
        <w:t>万元，增长</w:t>
      </w:r>
      <w:r>
        <w:rPr>
          <w:rFonts w:hint="eastAsia" w:ascii="仿宋" w:hAnsi="仿宋" w:eastAsia="仿宋" w:cs="仿宋"/>
          <w:color w:val="auto"/>
          <w:sz w:val="32"/>
          <w:szCs w:val="32"/>
          <w:highlight w:val="none"/>
          <w:u w:val="none"/>
          <w:lang w:val="en-US" w:eastAsia="zh-CN"/>
        </w:rPr>
        <w:t>47.92</w:t>
      </w:r>
      <w:r>
        <w:rPr>
          <w:rFonts w:hint="eastAsia" w:ascii="仿宋" w:hAnsi="仿宋" w:eastAsia="仿宋" w:cs="仿宋"/>
          <w:color w:val="auto"/>
          <w:sz w:val="32"/>
          <w:szCs w:val="32"/>
          <w:highlight w:val="none"/>
          <w:u w:val="none"/>
        </w:rPr>
        <w:t>%，主要是因为</w:t>
      </w:r>
      <w:r>
        <w:rPr>
          <w:rFonts w:hint="eastAsia" w:ascii="仿宋" w:hAnsi="仿宋" w:eastAsia="仿宋" w:cs="仿宋"/>
          <w:color w:val="auto"/>
          <w:sz w:val="32"/>
          <w:szCs w:val="32"/>
          <w:highlight w:val="none"/>
          <w:u w:val="none"/>
          <w:lang w:val="en-US" w:eastAsia="zh-CN"/>
        </w:rPr>
        <w:t>省、市级专项资金增加</w:t>
      </w:r>
      <w:r>
        <w:rPr>
          <w:rFonts w:hint="eastAsia" w:ascii="仿宋" w:hAnsi="仿宋" w:eastAsia="仿宋" w:cs="仿宋"/>
          <w:color w:val="auto"/>
          <w:sz w:val="32"/>
          <w:szCs w:val="32"/>
          <w:highlight w:val="none"/>
          <w:u w:val="none"/>
        </w:rPr>
        <w:t>。</w:t>
      </w:r>
    </w:p>
    <w:p>
      <w:pPr>
        <w:pStyle w:val="9"/>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（二）财政拨款支出决算结构情况</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2020</w:t>
      </w:r>
      <w:r>
        <w:rPr>
          <w:rFonts w:hint="eastAsia" w:ascii="仿宋" w:hAnsi="仿宋" w:eastAsia="仿宋" w:cs="仿宋"/>
          <w:color w:val="auto"/>
          <w:sz w:val="32"/>
          <w:szCs w:val="32"/>
          <w:highlight w:val="none"/>
          <w:u w:val="none"/>
        </w:rPr>
        <w:t>年度财政拨款支出</w:t>
      </w:r>
      <w:r>
        <w:rPr>
          <w:rFonts w:hint="eastAsia" w:ascii="仿宋" w:hAnsi="仿宋" w:eastAsia="仿宋" w:cs="仿宋"/>
          <w:color w:val="auto"/>
          <w:sz w:val="32"/>
          <w:szCs w:val="32"/>
          <w:highlight w:val="none"/>
          <w:u w:val="none"/>
          <w:lang w:val="en-US" w:eastAsia="zh-CN"/>
        </w:rPr>
        <w:t>7349.14</w:t>
      </w:r>
      <w:r>
        <w:rPr>
          <w:rFonts w:hint="eastAsia" w:ascii="仿宋" w:hAnsi="仿宋" w:eastAsia="仿宋" w:cs="仿宋"/>
          <w:color w:val="auto"/>
          <w:sz w:val="32"/>
          <w:szCs w:val="32"/>
          <w:highlight w:val="none"/>
          <w:u w:val="none"/>
        </w:rPr>
        <w:t>万元，主要用于以下方面：一般公共服务（类）支出</w:t>
      </w:r>
      <w:r>
        <w:rPr>
          <w:rFonts w:hint="eastAsia" w:ascii="仿宋" w:hAnsi="仿宋" w:eastAsia="仿宋" w:cs="仿宋"/>
          <w:color w:val="auto"/>
          <w:sz w:val="32"/>
          <w:szCs w:val="32"/>
          <w:highlight w:val="none"/>
          <w:u w:val="none"/>
          <w:lang w:val="en-US" w:eastAsia="zh-CN"/>
        </w:rPr>
        <w:t>3262.43</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44.39</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国防</w:t>
      </w:r>
      <w:r>
        <w:rPr>
          <w:rFonts w:hint="eastAsia" w:ascii="仿宋" w:hAnsi="仿宋" w:eastAsia="仿宋" w:cs="仿宋"/>
          <w:color w:val="auto"/>
          <w:sz w:val="32"/>
          <w:szCs w:val="32"/>
          <w:highlight w:val="none"/>
          <w:u w:val="none"/>
        </w:rPr>
        <w:t>（类）支出</w:t>
      </w:r>
      <w:r>
        <w:rPr>
          <w:rFonts w:hint="eastAsia" w:ascii="仿宋" w:hAnsi="仿宋" w:eastAsia="仿宋" w:cs="仿宋"/>
          <w:color w:val="auto"/>
          <w:sz w:val="32"/>
          <w:szCs w:val="32"/>
          <w:highlight w:val="none"/>
          <w:u w:val="none"/>
          <w:lang w:val="en-US" w:eastAsia="zh-CN"/>
        </w:rPr>
        <w:t>80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1.09</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科学技术</w:t>
      </w:r>
      <w:r>
        <w:rPr>
          <w:rFonts w:hint="eastAsia" w:ascii="仿宋" w:hAnsi="仿宋" w:eastAsia="仿宋" w:cs="仿宋"/>
          <w:color w:val="auto"/>
          <w:sz w:val="32"/>
          <w:szCs w:val="32"/>
          <w:highlight w:val="none"/>
          <w:u w:val="none"/>
        </w:rPr>
        <w:t>（类）支出</w:t>
      </w:r>
      <w:r>
        <w:rPr>
          <w:rFonts w:hint="eastAsia" w:ascii="仿宋" w:hAnsi="仿宋" w:eastAsia="仿宋" w:cs="仿宋"/>
          <w:color w:val="auto"/>
          <w:sz w:val="32"/>
          <w:szCs w:val="32"/>
          <w:highlight w:val="none"/>
          <w:u w:val="none"/>
          <w:lang w:val="en-US" w:eastAsia="zh-CN"/>
        </w:rPr>
        <w:t>76</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1.03</w:t>
      </w:r>
      <w:r>
        <w:rPr>
          <w:rFonts w:hint="eastAsia" w:ascii="仿宋" w:hAnsi="仿宋" w:eastAsia="仿宋" w:cs="仿宋"/>
          <w:color w:val="auto"/>
          <w:sz w:val="32"/>
          <w:szCs w:val="32"/>
          <w:highlight w:val="none"/>
          <w:u w:val="none"/>
        </w:rPr>
        <w:t xml:space="preserve"> </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社会保障和就业</w:t>
      </w:r>
      <w:r>
        <w:rPr>
          <w:rFonts w:hint="eastAsia" w:ascii="仿宋" w:hAnsi="仿宋" w:eastAsia="仿宋" w:cs="仿宋"/>
          <w:color w:val="auto"/>
          <w:sz w:val="32"/>
          <w:szCs w:val="32"/>
          <w:highlight w:val="none"/>
          <w:u w:val="none"/>
        </w:rPr>
        <w:t>（类）支出</w:t>
      </w:r>
      <w:r>
        <w:rPr>
          <w:rFonts w:hint="eastAsia" w:ascii="仿宋" w:hAnsi="仿宋" w:eastAsia="仿宋" w:cs="仿宋"/>
          <w:color w:val="auto"/>
          <w:sz w:val="32"/>
          <w:szCs w:val="32"/>
          <w:highlight w:val="none"/>
          <w:u w:val="none"/>
          <w:lang w:val="en-US" w:eastAsia="zh-CN"/>
        </w:rPr>
        <w:t>62.18</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0.85</w:t>
      </w:r>
      <w:r>
        <w:rPr>
          <w:rFonts w:hint="eastAsia" w:ascii="仿宋" w:hAnsi="仿宋" w:eastAsia="仿宋" w:cs="仿宋"/>
          <w:color w:val="auto"/>
          <w:sz w:val="32"/>
          <w:szCs w:val="32"/>
          <w:highlight w:val="none"/>
          <w:u w:val="none"/>
        </w:rPr>
        <w:t xml:space="preserve"> %;</w:t>
      </w:r>
      <w:r>
        <w:rPr>
          <w:rFonts w:hint="eastAsia" w:ascii="仿宋" w:hAnsi="仿宋" w:eastAsia="仿宋" w:cs="仿宋"/>
          <w:color w:val="auto"/>
          <w:sz w:val="32"/>
          <w:szCs w:val="32"/>
          <w:highlight w:val="none"/>
          <w:u w:val="none"/>
          <w:lang w:val="en-US" w:eastAsia="zh-CN"/>
        </w:rPr>
        <w:t>节能环保</w:t>
      </w:r>
      <w:r>
        <w:rPr>
          <w:rFonts w:hint="eastAsia" w:ascii="仿宋" w:hAnsi="仿宋" w:eastAsia="仿宋" w:cs="仿宋"/>
          <w:color w:val="auto"/>
          <w:sz w:val="32"/>
          <w:szCs w:val="32"/>
          <w:highlight w:val="none"/>
          <w:u w:val="none"/>
        </w:rPr>
        <w:t>（类）支出</w:t>
      </w:r>
      <w:r>
        <w:rPr>
          <w:rFonts w:hint="eastAsia" w:ascii="仿宋" w:hAnsi="仿宋" w:eastAsia="仿宋" w:cs="仿宋"/>
          <w:color w:val="auto"/>
          <w:sz w:val="32"/>
          <w:szCs w:val="32"/>
          <w:highlight w:val="none"/>
          <w:u w:val="none"/>
          <w:lang w:val="en-US" w:eastAsia="zh-CN"/>
        </w:rPr>
        <w:t>792.65</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10.79</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城乡社区</w:t>
      </w:r>
      <w:r>
        <w:rPr>
          <w:rFonts w:hint="eastAsia" w:ascii="仿宋" w:hAnsi="仿宋" w:eastAsia="仿宋" w:cs="仿宋"/>
          <w:color w:val="auto"/>
          <w:sz w:val="32"/>
          <w:szCs w:val="32"/>
          <w:highlight w:val="none"/>
          <w:u w:val="none"/>
        </w:rPr>
        <w:t>（类）支出</w:t>
      </w:r>
      <w:r>
        <w:rPr>
          <w:rFonts w:hint="eastAsia" w:ascii="仿宋" w:hAnsi="仿宋" w:eastAsia="仿宋" w:cs="仿宋"/>
          <w:color w:val="auto"/>
          <w:sz w:val="32"/>
          <w:szCs w:val="32"/>
          <w:highlight w:val="none"/>
          <w:u w:val="none"/>
          <w:lang w:val="en-US" w:eastAsia="zh-CN"/>
        </w:rPr>
        <w:t>29.6</w:t>
      </w:r>
      <w:r>
        <w:rPr>
          <w:rFonts w:hint="eastAsia" w:ascii="仿宋" w:hAnsi="仿宋" w:eastAsia="仿宋" w:cs="仿宋"/>
          <w:color w:val="auto"/>
          <w:sz w:val="32"/>
          <w:szCs w:val="32"/>
          <w:highlight w:val="none"/>
          <w:u w:val="none"/>
        </w:rPr>
        <w:t xml:space="preserve">万元，占 </w:t>
      </w:r>
      <w:r>
        <w:rPr>
          <w:rFonts w:hint="eastAsia" w:ascii="仿宋" w:hAnsi="仿宋" w:eastAsia="仿宋" w:cs="仿宋"/>
          <w:color w:val="auto"/>
          <w:sz w:val="32"/>
          <w:szCs w:val="32"/>
          <w:highlight w:val="none"/>
          <w:u w:val="none"/>
          <w:lang w:val="en-US" w:eastAsia="zh-CN"/>
        </w:rPr>
        <w:t>0.4</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商业服务业等</w:t>
      </w:r>
      <w:r>
        <w:rPr>
          <w:rFonts w:hint="eastAsia" w:ascii="仿宋" w:hAnsi="仿宋" w:eastAsia="仿宋" w:cs="仿宋"/>
          <w:color w:val="auto"/>
          <w:sz w:val="32"/>
          <w:szCs w:val="32"/>
          <w:highlight w:val="none"/>
          <w:u w:val="none"/>
        </w:rPr>
        <w:t>（类）支出</w:t>
      </w:r>
      <w:r>
        <w:rPr>
          <w:rFonts w:hint="eastAsia" w:ascii="仿宋" w:hAnsi="仿宋" w:eastAsia="仿宋" w:cs="仿宋"/>
          <w:color w:val="auto"/>
          <w:sz w:val="32"/>
          <w:szCs w:val="32"/>
          <w:highlight w:val="none"/>
          <w:u w:val="none"/>
          <w:lang w:val="en-US" w:eastAsia="zh-CN"/>
        </w:rPr>
        <w:t>3000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40.82</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住房保障</w:t>
      </w:r>
      <w:r>
        <w:rPr>
          <w:rFonts w:hint="eastAsia" w:ascii="仿宋" w:hAnsi="仿宋" w:eastAsia="仿宋" w:cs="仿宋"/>
          <w:color w:val="auto"/>
          <w:sz w:val="32"/>
          <w:szCs w:val="32"/>
          <w:highlight w:val="none"/>
          <w:u w:val="none"/>
        </w:rPr>
        <w:t>（类）支出</w:t>
      </w:r>
      <w:r>
        <w:rPr>
          <w:rFonts w:hint="eastAsia" w:ascii="仿宋" w:hAnsi="仿宋" w:eastAsia="仿宋" w:cs="仿宋"/>
          <w:color w:val="auto"/>
          <w:sz w:val="32"/>
          <w:szCs w:val="32"/>
          <w:highlight w:val="none"/>
          <w:u w:val="none"/>
          <w:lang w:val="en-US" w:eastAsia="zh-CN"/>
        </w:rPr>
        <w:t>45.29</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0.62</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灾害防治及应急管理</w:t>
      </w:r>
      <w:r>
        <w:rPr>
          <w:rFonts w:hint="eastAsia" w:ascii="仿宋" w:hAnsi="仿宋" w:eastAsia="仿宋" w:cs="仿宋"/>
          <w:color w:val="auto"/>
          <w:sz w:val="32"/>
          <w:szCs w:val="32"/>
          <w:highlight w:val="none"/>
          <w:u w:val="none"/>
        </w:rPr>
        <w:t>（类）支出</w:t>
      </w: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0.01</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（三）财政拨款支出决算具体情况</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2020</w:t>
      </w:r>
      <w:r>
        <w:rPr>
          <w:rFonts w:hint="eastAsia" w:ascii="仿宋" w:hAnsi="仿宋" w:eastAsia="仿宋" w:cs="仿宋"/>
          <w:color w:val="auto"/>
          <w:sz w:val="32"/>
          <w:szCs w:val="32"/>
          <w:highlight w:val="none"/>
          <w:u w:val="none"/>
        </w:rPr>
        <w:t>年度财政拨款支出年初预算数为</w:t>
      </w:r>
      <w:r>
        <w:rPr>
          <w:rFonts w:hint="eastAsia" w:ascii="仿宋" w:hAnsi="仿宋" w:eastAsia="仿宋" w:cs="仿宋"/>
          <w:color w:val="auto"/>
          <w:sz w:val="32"/>
          <w:szCs w:val="32"/>
          <w:highlight w:val="none"/>
          <w:u w:val="none"/>
          <w:lang w:val="en-US" w:eastAsia="zh-CN"/>
        </w:rPr>
        <w:t>1902.77</w:t>
      </w:r>
      <w:r>
        <w:rPr>
          <w:rFonts w:hint="eastAsia" w:ascii="仿宋" w:hAnsi="仿宋" w:eastAsia="仿宋" w:cs="仿宋"/>
          <w:color w:val="auto"/>
          <w:sz w:val="32"/>
          <w:szCs w:val="32"/>
          <w:highlight w:val="none"/>
          <w:u w:val="none"/>
        </w:rPr>
        <w:t>万元，支出决算数为</w:t>
      </w:r>
      <w:r>
        <w:rPr>
          <w:rFonts w:hint="eastAsia" w:ascii="仿宋" w:hAnsi="仿宋" w:eastAsia="仿宋" w:cs="仿宋"/>
          <w:color w:val="auto"/>
          <w:sz w:val="32"/>
          <w:szCs w:val="32"/>
          <w:highlight w:val="none"/>
          <w:u w:val="none"/>
          <w:lang w:val="en-US" w:eastAsia="zh-CN"/>
        </w:rPr>
        <w:t>7349.14</w:t>
      </w:r>
      <w:r>
        <w:rPr>
          <w:rFonts w:hint="eastAsia" w:ascii="仿宋" w:hAnsi="仿宋" w:eastAsia="仿宋" w:cs="仿宋"/>
          <w:color w:val="auto"/>
          <w:sz w:val="32"/>
          <w:szCs w:val="32"/>
          <w:highlight w:val="none"/>
          <w:u w:val="none"/>
        </w:rPr>
        <w:t>万元，完成年初预算的</w:t>
      </w:r>
      <w:r>
        <w:rPr>
          <w:rFonts w:hint="eastAsia" w:ascii="仿宋" w:hAnsi="仿宋" w:eastAsia="仿宋" w:cs="仿宋"/>
          <w:color w:val="auto"/>
          <w:sz w:val="32"/>
          <w:szCs w:val="32"/>
          <w:highlight w:val="none"/>
          <w:u w:val="none"/>
          <w:lang w:val="en-US" w:eastAsia="zh-CN"/>
        </w:rPr>
        <w:t>386.23</w:t>
      </w:r>
      <w:r>
        <w:rPr>
          <w:rFonts w:hint="eastAsia" w:ascii="仿宋" w:hAnsi="仿宋" w:eastAsia="仿宋" w:cs="仿宋"/>
          <w:color w:val="auto"/>
          <w:sz w:val="32"/>
          <w:szCs w:val="32"/>
          <w:highlight w:val="none"/>
          <w:u w:val="none"/>
        </w:rPr>
        <w:t>%，其中：</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1、一般公共服务（类）</w:t>
      </w:r>
      <w:r>
        <w:rPr>
          <w:rFonts w:hint="eastAsia" w:ascii="仿宋" w:hAnsi="仿宋" w:eastAsia="仿宋" w:cs="仿宋"/>
          <w:color w:val="auto"/>
          <w:sz w:val="32"/>
          <w:szCs w:val="32"/>
          <w:highlight w:val="none"/>
          <w:u w:val="none"/>
          <w:lang w:val="en-US" w:eastAsia="zh-CN"/>
        </w:rPr>
        <w:t>发展与改革事务</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行政运行</w:t>
      </w:r>
      <w:r>
        <w:rPr>
          <w:rFonts w:hint="eastAsia" w:ascii="仿宋" w:hAnsi="仿宋" w:eastAsia="仿宋" w:cs="仿宋"/>
          <w:color w:val="auto"/>
          <w:sz w:val="32"/>
          <w:szCs w:val="32"/>
          <w:highlight w:val="none"/>
          <w:u w:val="none"/>
        </w:rPr>
        <w:t xml:space="preserve">   （项）。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725.27</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610.56</w:t>
      </w:r>
      <w:r>
        <w:rPr>
          <w:rFonts w:hint="eastAsia" w:ascii="仿宋" w:hAnsi="仿宋" w:eastAsia="仿宋" w:cs="仿宋"/>
          <w:color w:val="auto"/>
          <w:sz w:val="32"/>
          <w:szCs w:val="32"/>
          <w:highlight w:val="none"/>
          <w:u w:val="none"/>
        </w:rPr>
        <w:t>万元，完成年初预算的</w:t>
      </w:r>
      <w:r>
        <w:rPr>
          <w:rFonts w:hint="eastAsia" w:ascii="仿宋" w:hAnsi="仿宋" w:eastAsia="仿宋" w:cs="仿宋"/>
          <w:color w:val="auto"/>
          <w:sz w:val="32"/>
          <w:szCs w:val="32"/>
          <w:highlight w:val="none"/>
          <w:u w:val="none"/>
          <w:lang w:val="en-US" w:eastAsia="zh-CN"/>
        </w:rPr>
        <w:t>84.18</w:t>
      </w:r>
      <w:r>
        <w:rPr>
          <w:rFonts w:hint="eastAsia" w:ascii="仿宋" w:hAnsi="仿宋" w:eastAsia="仿宋" w:cs="仿宋"/>
          <w:color w:val="auto"/>
          <w:sz w:val="32"/>
          <w:szCs w:val="32"/>
          <w:highlight w:val="none"/>
          <w:u w:val="none"/>
        </w:rPr>
        <w:t>%，决算数小于年初预算数的主要原因是</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人员增减变动。</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2、一般公共服务（类）</w:t>
      </w:r>
      <w:r>
        <w:rPr>
          <w:rFonts w:hint="eastAsia" w:ascii="仿宋" w:hAnsi="仿宋" w:eastAsia="仿宋" w:cs="仿宋"/>
          <w:color w:val="auto"/>
          <w:sz w:val="32"/>
          <w:szCs w:val="32"/>
          <w:highlight w:val="none"/>
          <w:u w:val="none"/>
          <w:lang w:val="en-US" w:eastAsia="zh-CN"/>
        </w:rPr>
        <w:t>发展与改革事务</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一般行政管理事务</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1148.5</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1265.86</w:t>
      </w:r>
      <w:r>
        <w:rPr>
          <w:rFonts w:hint="eastAsia" w:ascii="仿宋" w:hAnsi="仿宋" w:eastAsia="仿宋" w:cs="仿宋"/>
          <w:color w:val="auto"/>
          <w:sz w:val="32"/>
          <w:szCs w:val="32"/>
          <w:highlight w:val="none"/>
          <w:u w:val="none"/>
        </w:rPr>
        <w:t>万元，完成年初预算的</w:t>
      </w:r>
      <w:r>
        <w:rPr>
          <w:rFonts w:hint="eastAsia" w:ascii="仿宋" w:hAnsi="仿宋" w:eastAsia="仿宋" w:cs="仿宋"/>
          <w:color w:val="auto"/>
          <w:sz w:val="32"/>
          <w:szCs w:val="32"/>
          <w:highlight w:val="none"/>
          <w:u w:val="none"/>
          <w:lang w:val="en-US" w:eastAsia="zh-CN"/>
        </w:rPr>
        <w:t>110.22</w:t>
      </w:r>
      <w:r>
        <w:rPr>
          <w:rFonts w:hint="eastAsia" w:ascii="仿宋" w:hAnsi="仿宋" w:eastAsia="仿宋" w:cs="仿宋"/>
          <w:color w:val="auto"/>
          <w:sz w:val="32"/>
          <w:szCs w:val="32"/>
          <w:highlight w:val="none"/>
          <w:u w:val="none"/>
        </w:rPr>
        <w:t>%，决算数大于年初预算数的主要原因是：</w:t>
      </w:r>
      <w:r>
        <w:rPr>
          <w:rFonts w:hint="eastAsia" w:ascii="仿宋" w:hAnsi="仿宋" w:eastAsia="仿宋" w:cs="仿宋"/>
          <w:color w:val="auto"/>
          <w:sz w:val="32"/>
          <w:szCs w:val="32"/>
          <w:highlight w:val="none"/>
          <w:u w:val="none"/>
          <w:lang w:val="en-US" w:eastAsia="zh-CN"/>
        </w:rPr>
        <w:t>增加电力“630攻坚”指挥部工作经费。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3</w:t>
      </w:r>
      <w:r>
        <w:rPr>
          <w:rFonts w:hint="eastAsia" w:ascii="仿宋" w:hAnsi="仿宋" w:eastAsia="仿宋" w:cs="仿宋"/>
          <w:color w:val="auto"/>
          <w:sz w:val="32"/>
          <w:szCs w:val="32"/>
          <w:highlight w:val="none"/>
          <w:u w:val="none"/>
        </w:rPr>
        <w:t>、一般公共服务（类）</w:t>
      </w:r>
      <w:r>
        <w:rPr>
          <w:rFonts w:hint="eastAsia" w:ascii="仿宋" w:hAnsi="仿宋" w:eastAsia="仿宋" w:cs="仿宋"/>
          <w:color w:val="auto"/>
          <w:sz w:val="32"/>
          <w:szCs w:val="32"/>
          <w:highlight w:val="none"/>
          <w:u w:val="none"/>
          <w:lang w:val="en-US" w:eastAsia="zh-CN"/>
        </w:rPr>
        <w:t>发展与改革事务</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其他发展与改革事务支出</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1386</w:t>
      </w:r>
      <w:r>
        <w:rPr>
          <w:rFonts w:hint="eastAsia" w:ascii="仿宋" w:hAnsi="仿宋" w:eastAsia="仿宋" w:cs="仿宋"/>
          <w:color w:val="auto"/>
          <w:sz w:val="32"/>
          <w:szCs w:val="32"/>
          <w:highlight w:val="none"/>
          <w:u w:val="none"/>
        </w:rPr>
        <w:t>万元，决算数大于年初预算数的主要原因是：2020年省预算内基建资金</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4</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国防支出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国防动员</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经济动员</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80</w:t>
      </w:r>
      <w:r>
        <w:rPr>
          <w:rFonts w:hint="eastAsia" w:ascii="仿宋" w:hAnsi="仿宋" w:eastAsia="仿宋" w:cs="仿宋"/>
          <w:color w:val="auto"/>
          <w:sz w:val="32"/>
          <w:szCs w:val="32"/>
          <w:highlight w:val="none"/>
          <w:u w:val="none"/>
        </w:rPr>
        <w:t>万元，决算数大于年初预算数的主要原因是：2020年国民经济动员中心建设和管理资金</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5</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科学技术支出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其他科学技术支出</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其他科学技术支出</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76</w:t>
      </w:r>
      <w:r>
        <w:rPr>
          <w:rFonts w:hint="eastAsia" w:ascii="仿宋" w:hAnsi="仿宋" w:eastAsia="仿宋" w:cs="仿宋"/>
          <w:color w:val="auto"/>
          <w:sz w:val="32"/>
          <w:szCs w:val="32"/>
          <w:highlight w:val="none"/>
          <w:u w:val="none"/>
        </w:rPr>
        <w:t>万元，决算数大于年初预算数的主要原因是：2019年（第二批）经济发展奖励资金，新增规模服务业奖</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6</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社会保障和就业支出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行政事业单位养老支出</w:t>
      </w:r>
      <w:r>
        <w:rPr>
          <w:rFonts w:hint="eastAsia" w:ascii="仿宋" w:hAnsi="仿宋" w:eastAsia="仿宋" w:cs="仿宋"/>
          <w:color w:val="auto"/>
          <w:sz w:val="32"/>
          <w:szCs w:val="32"/>
          <w:highlight w:val="none"/>
          <w:u w:val="none"/>
        </w:rPr>
        <w:t xml:space="preserve">（款）   </w:t>
      </w:r>
      <w:r>
        <w:rPr>
          <w:rFonts w:hint="eastAsia" w:ascii="仿宋" w:hAnsi="仿宋" w:eastAsia="仿宋" w:cs="仿宋"/>
          <w:color w:val="auto"/>
          <w:sz w:val="32"/>
          <w:szCs w:val="32"/>
          <w:highlight w:val="none"/>
          <w:u w:val="none"/>
          <w:lang w:val="en-US" w:eastAsia="zh-CN"/>
        </w:rPr>
        <w:t>行政单位离退休</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29</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32.13</w:t>
      </w:r>
      <w:r>
        <w:rPr>
          <w:rFonts w:hint="eastAsia" w:ascii="仿宋" w:hAnsi="仿宋" w:eastAsia="仿宋" w:cs="仿宋"/>
          <w:color w:val="auto"/>
          <w:sz w:val="32"/>
          <w:szCs w:val="32"/>
          <w:highlight w:val="none"/>
          <w:u w:val="none"/>
        </w:rPr>
        <w:t>万元，完成年初预算的</w:t>
      </w:r>
      <w:r>
        <w:rPr>
          <w:rFonts w:hint="eastAsia" w:ascii="仿宋" w:hAnsi="仿宋" w:eastAsia="仿宋" w:cs="仿宋"/>
          <w:color w:val="auto"/>
          <w:sz w:val="32"/>
          <w:szCs w:val="32"/>
          <w:highlight w:val="none"/>
          <w:u w:val="none"/>
          <w:lang w:val="en-US" w:eastAsia="zh-CN"/>
        </w:rPr>
        <w:t>110.79</w:t>
      </w:r>
      <w:r>
        <w:rPr>
          <w:rFonts w:hint="eastAsia" w:ascii="仿宋" w:hAnsi="仿宋" w:eastAsia="仿宋" w:cs="仿宋"/>
          <w:color w:val="auto"/>
          <w:sz w:val="32"/>
          <w:szCs w:val="32"/>
          <w:highlight w:val="none"/>
          <w:u w:val="none"/>
        </w:rPr>
        <w:t>%，决算数大于年初预算数的主要原因是：</w:t>
      </w:r>
      <w:r>
        <w:rPr>
          <w:rFonts w:hint="eastAsia" w:ascii="仿宋" w:hAnsi="仿宋" w:eastAsia="仿宋" w:cs="仿宋"/>
          <w:color w:val="auto"/>
          <w:sz w:val="32"/>
          <w:szCs w:val="32"/>
          <w:highlight w:val="none"/>
          <w:u w:val="none"/>
          <w:lang w:val="en-US" w:eastAsia="zh-CN"/>
        </w:rPr>
        <w:t>退休人员增加。</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7</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社会保障和就业支出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行政事业单位养老支出</w:t>
      </w:r>
      <w:r>
        <w:rPr>
          <w:rFonts w:hint="eastAsia" w:ascii="仿宋" w:hAnsi="仿宋" w:eastAsia="仿宋" w:cs="仿宋"/>
          <w:color w:val="auto"/>
          <w:sz w:val="32"/>
          <w:szCs w:val="32"/>
          <w:highlight w:val="none"/>
          <w:u w:val="none"/>
        </w:rPr>
        <w:t xml:space="preserve">（款）   </w:t>
      </w:r>
      <w:r>
        <w:rPr>
          <w:rFonts w:hint="eastAsia" w:ascii="仿宋" w:hAnsi="仿宋" w:eastAsia="仿宋" w:cs="仿宋"/>
          <w:color w:val="auto"/>
          <w:sz w:val="32"/>
          <w:szCs w:val="32"/>
          <w:highlight w:val="none"/>
          <w:u w:val="none"/>
          <w:lang w:val="en-US" w:eastAsia="zh-CN"/>
        </w:rPr>
        <w:t>行政事业单位基本养老保险缴费支出</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27.53</w:t>
      </w:r>
      <w:r>
        <w:rPr>
          <w:rFonts w:hint="eastAsia" w:ascii="仿宋" w:hAnsi="仿宋" w:eastAsia="仿宋" w:cs="仿宋"/>
          <w:color w:val="auto"/>
          <w:sz w:val="32"/>
          <w:szCs w:val="32"/>
          <w:highlight w:val="none"/>
          <w:u w:val="none"/>
        </w:rPr>
        <w:t>万元，决算数大于年初预算数的主要原因是：机关事业单位养老保险</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8</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社会保障和就业支出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残疾人事业</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其他残疾人事业支出</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2.53</w:t>
      </w:r>
      <w:r>
        <w:rPr>
          <w:rFonts w:hint="eastAsia" w:ascii="仿宋" w:hAnsi="仿宋" w:eastAsia="仿宋" w:cs="仿宋"/>
          <w:color w:val="auto"/>
          <w:sz w:val="32"/>
          <w:szCs w:val="32"/>
          <w:highlight w:val="none"/>
          <w:u w:val="none"/>
        </w:rPr>
        <w:t>万元，决算数大于年初预算数的主要原因是：征收残疾人就业保障金</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9</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节能环保支出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污染防治</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大气</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433.95</w:t>
      </w:r>
      <w:r>
        <w:rPr>
          <w:rFonts w:hint="eastAsia" w:ascii="仿宋" w:hAnsi="仿宋" w:eastAsia="仿宋" w:cs="仿宋"/>
          <w:color w:val="auto"/>
          <w:sz w:val="32"/>
          <w:szCs w:val="32"/>
          <w:highlight w:val="none"/>
          <w:u w:val="none"/>
        </w:rPr>
        <w:t>万元，决算数大于年初预算数的主要原因是：下达2019年度老旧校区居民家庭餐厨油烟净化治理项目市级补贴资金</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10</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节能环保支出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能源节约利用</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能源节约利用</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160.7</w:t>
      </w:r>
      <w:r>
        <w:rPr>
          <w:rFonts w:hint="eastAsia" w:ascii="仿宋" w:hAnsi="仿宋" w:eastAsia="仿宋" w:cs="仿宋"/>
          <w:color w:val="auto"/>
          <w:sz w:val="32"/>
          <w:szCs w:val="32"/>
          <w:highlight w:val="none"/>
          <w:u w:val="none"/>
        </w:rPr>
        <w:t>万元，决算数大于年初预算数的主要原因是：2020年分布式能源专项资金“第二批”</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11</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节能环保支出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其他节能环保支出</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其他节能环保支出</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198</w:t>
      </w:r>
      <w:r>
        <w:rPr>
          <w:rFonts w:hint="eastAsia" w:ascii="仿宋" w:hAnsi="仿宋" w:eastAsia="仿宋" w:cs="仿宋"/>
          <w:color w:val="auto"/>
          <w:sz w:val="32"/>
          <w:szCs w:val="32"/>
          <w:highlight w:val="none"/>
          <w:u w:val="none"/>
        </w:rPr>
        <w:t>万元，决算数大于年初预算数的主要原因是：2020年省</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市</w:t>
      </w:r>
      <w:r>
        <w:rPr>
          <w:rFonts w:hint="eastAsia" w:ascii="仿宋" w:hAnsi="仿宋" w:eastAsia="仿宋" w:cs="仿宋"/>
          <w:color w:val="auto"/>
          <w:sz w:val="32"/>
          <w:szCs w:val="32"/>
          <w:highlight w:val="none"/>
          <w:u w:val="none"/>
        </w:rPr>
        <w:t>级两型社会建设专项资金</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sz w:val="32"/>
          <w:szCs w:val="32"/>
          <w:highlight w:val="none"/>
          <w:u w:val="none"/>
        </w:rPr>
        <w:t>2、</w:t>
      </w:r>
      <w:r>
        <w:rPr>
          <w:rFonts w:hint="eastAsia" w:ascii="仿宋" w:hAnsi="仿宋" w:eastAsia="仿宋" w:cs="仿宋"/>
          <w:color w:val="auto"/>
          <w:sz w:val="32"/>
          <w:szCs w:val="32"/>
          <w:highlight w:val="none"/>
          <w:u w:val="none"/>
          <w:lang w:val="en-US" w:eastAsia="zh-CN"/>
        </w:rPr>
        <w:t>城乡社区支出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其他城乡社区支出</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其他城乡社区支出</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29.6</w:t>
      </w:r>
      <w:r>
        <w:rPr>
          <w:rFonts w:hint="eastAsia" w:ascii="仿宋" w:hAnsi="仿宋" w:eastAsia="仿宋" w:cs="仿宋"/>
          <w:color w:val="auto"/>
          <w:sz w:val="32"/>
          <w:szCs w:val="32"/>
          <w:highlight w:val="none"/>
          <w:u w:val="none"/>
        </w:rPr>
        <w:t>万元，决算数大于年初预算数的主要原因是：2019年开福区项目建设先进个人奖励</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13</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商业服务业等支出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其他商业服务业等支出</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其他商业服务业等支出</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年初预算为万元，支出决算为</w:t>
      </w:r>
      <w:r>
        <w:rPr>
          <w:rFonts w:hint="eastAsia" w:ascii="仿宋" w:hAnsi="仿宋" w:eastAsia="仿宋" w:cs="仿宋"/>
          <w:color w:val="auto"/>
          <w:sz w:val="32"/>
          <w:szCs w:val="32"/>
          <w:highlight w:val="none"/>
          <w:u w:val="none"/>
          <w:lang w:val="en-US" w:eastAsia="zh-CN"/>
        </w:rPr>
        <w:t>3000</w:t>
      </w:r>
      <w:r>
        <w:rPr>
          <w:rFonts w:hint="eastAsia" w:ascii="仿宋" w:hAnsi="仿宋" w:eastAsia="仿宋" w:cs="仿宋"/>
          <w:color w:val="auto"/>
          <w:sz w:val="32"/>
          <w:szCs w:val="32"/>
          <w:highlight w:val="none"/>
          <w:u w:val="none"/>
        </w:rPr>
        <w:t>万元，决算数大于年初预算数的主要原因是：2020年第一批城乡冷链和国家物流枢纽建设项目中央预算内基建资金</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14</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住房保障支出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住房改革支出</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住房公积金</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45.29</w:t>
      </w:r>
      <w:r>
        <w:rPr>
          <w:rFonts w:hint="eastAsia" w:ascii="仿宋" w:hAnsi="仿宋" w:eastAsia="仿宋" w:cs="仿宋"/>
          <w:color w:val="auto"/>
          <w:sz w:val="32"/>
          <w:szCs w:val="32"/>
          <w:highlight w:val="none"/>
          <w:u w:val="none"/>
        </w:rPr>
        <w:t>万元，决算数大于年初预算数的主要原因是：</w:t>
      </w:r>
      <w:r>
        <w:rPr>
          <w:rFonts w:hint="eastAsia" w:ascii="仿宋" w:hAnsi="仿宋" w:eastAsia="仿宋" w:cs="仿宋"/>
          <w:color w:val="auto"/>
          <w:sz w:val="32"/>
          <w:szCs w:val="32"/>
          <w:highlight w:val="none"/>
          <w:u w:val="none"/>
          <w:lang w:val="en-US" w:eastAsia="zh-CN"/>
        </w:rPr>
        <w:t>在职人员住房公积金。</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15</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灾害防治及应急管理支出</w:t>
      </w:r>
      <w:r>
        <w:rPr>
          <w:rFonts w:hint="eastAsia" w:ascii="仿宋" w:hAnsi="仿宋" w:eastAsia="仿宋" w:cs="仿宋"/>
          <w:color w:val="auto"/>
          <w:sz w:val="32"/>
          <w:szCs w:val="32"/>
          <w:highlight w:val="none"/>
          <w:u w:val="none"/>
        </w:rPr>
        <w:t>（类）</w:t>
      </w:r>
      <w:r>
        <w:rPr>
          <w:rFonts w:hint="eastAsia" w:ascii="仿宋" w:hAnsi="仿宋" w:eastAsia="仿宋" w:cs="仿宋"/>
          <w:color w:val="auto"/>
          <w:sz w:val="32"/>
          <w:szCs w:val="32"/>
          <w:highlight w:val="none"/>
          <w:u w:val="none"/>
          <w:lang w:val="en-US" w:eastAsia="zh-CN"/>
        </w:rPr>
        <w:t>应急管理事务</w:t>
      </w:r>
      <w:r>
        <w:rPr>
          <w:rFonts w:hint="eastAsia" w:ascii="仿宋" w:hAnsi="仿宋" w:eastAsia="仿宋" w:cs="仿宋"/>
          <w:color w:val="auto"/>
          <w:sz w:val="32"/>
          <w:szCs w:val="32"/>
          <w:highlight w:val="none"/>
          <w:u w:val="none"/>
        </w:rPr>
        <w:t>（款）</w:t>
      </w:r>
      <w:r>
        <w:rPr>
          <w:rFonts w:hint="eastAsia" w:ascii="仿宋" w:hAnsi="仿宋" w:eastAsia="仿宋" w:cs="仿宋"/>
          <w:color w:val="auto"/>
          <w:sz w:val="32"/>
          <w:szCs w:val="32"/>
          <w:highlight w:val="none"/>
          <w:u w:val="none"/>
          <w:lang w:val="en-US" w:eastAsia="zh-CN"/>
        </w:rPr>
        <w:t>一般行政管理事务</w:t>
      </w:r>
      <w:r>
        <w:rPr>
          <w:rFonts w:hint="eastAsia" w:ascii="仿宋" w:hAnsi="仿宋" w:eastAsia="仿宋" w:cs="仿宋"/>
          <w:color w:val="auto"/>
          <w:sz w:val="32"/>
          <w:szCs w:val="32"/>
          <w:highlight w:val="none"/>
          <w:u w:val="none"/>
        </w:rPr>
        <w:t>（项）。</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年初预算为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sz w:val="32"/>
          <w:szCs w:val="32"/>
          <w:highlight w:val="none"/>
          <w:u w:val="none"/>
        </w:rPr>
        <w:t>万元，决算数大于年初预算数的主要原因是：开福区2020年半年度安全生产、消防安全考评奖励资金</w:t>
      </w:r>
      <w:r>
        <w:rPr>
          <w:rFonts w:hint="eastAsia" w:ascii="仿宋" w:hAnsi="仿宋" w:eastAsia="仿宋" w:cs="仿宋"/>
          <w:color w:val="auto"/>
          <w:sz w:val="32"/>
          <w:szCs w:val="32"/>
          <w:highlight w:val="none"/>
          <w:u w:val="none"/>
          <w:lang w:eastAsia="zh-CN"/>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rPr>
        <w:t>六、一般公共预算财政拨款基本支出决算情况说明</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2020</w:t>
      </w:r>
      <w:r>
        <w:rPr>
          <w:rFonts w:hint="eastAsia" w:ascii="仿宋" w:hAnsi="仿宋" w:eastAsia="仿宋" w:cs="仿宋"/>
          <w:color w:val="auto"/>
          <w:sz w:val="32"/>
          <w:szCs w:val="32"/>
          <w:highlight w:val="none"/>
          <w:u w:val="none"/>
        </w:rPr>
        <w:t>年度财政拨款基本支出</w:t>
      </w:r>
      <w:r>
        <w:rPr>
          <w:rFonts w:hint="eastAsia" w:ascii="仿宋" w:hAnsi="仿宋" w:eastAsia="仿宋" w:cs="仿宋"/>
          <w:color w:val="auto"/>
          <w:sz w:val="32"/>
          <w:szCs w:val="32"/>
          <w:highlight w:val="none"/>
          <w:u w:val="none"/>
          <w:lang w:val="en-US" w:eastAsia="zh-CN"/>
        </w:rPr>
        <w:t>718.03</w:t>
      </w:r>
      <w:r>
        <w:rPr>
          <w:rFonts w:hint="eastAsia" w:ascii="仿宋" w:hAnsi="仿宋" w:eastAsia="仿宋" w:cs="仿宋"/>
          <w:color w:val="auto"/>
          <w:sz w:val="32"/>
          <w:szCs w:val="32"/>
          <w:highlight w:val="none"/>
          <w:u w:val="none"/>
        </w:rPr>
        <w:t xml:space="preserve">万元，其中：人员经费  </w:t>
      </w:r>
      <w:r>
        <w:rPr>
          <w:rFonts w:hint="eastAsia" w:ascii="仿宋" w:hAnsi="仿宋" w:eastAsia="仿宋" w:cs="仿宋"/>
          <w:color w:val="auto"/>
          <w:sz w:val="32"/>
          <w:szCs w:val="32"/>
          <w:highlight w:val="none"/>
          <w:u w:val="none"/>
          <w:lang w:val="en-US" w:eastAsia="zh-CN"/>
        </w:rPr>
        <w:t>648.8</w:t>
      </w:r>
      <w:r>
        <w:rPr>
          <w:rFonts w:hint="eastAsia" w:ascii="仿宋" w:hAnsi="仿宋" w:eastAsia="仿宋" w:cs="仿宋"/>
          <w:color w:val="auto"/>
          <w:sz w:val="32"/>
          <w:szCs w:val="32"/>
          <w:highlight w:val="none"/>
          <w:u w:val="none"/>
        </w:rPr>
        <w:t>万元，占基本支出的</w:t>
      </w:r>
      <w:r>
        <w:rPr>
          <w:rFonts w:hint="eastAsia" w:ascii="仿宋" w:hAnsi="仿宋" w:eastAsia="仿宋" w:cs="仿宋"/>
          <w:color w:val="auto"/>
          <w:sz w:val="32"/>
          <w:szCs w:val="32"/>
          <w:highlight w:val="none"/>
          <w:u w:val="none"/>
          <w:lang w:val="en-US" w:eastAsia="zh-CN"/>
        </w:rPr>
        <w:t>90.36</w:t>
      </w:r>
      <w:r>
        <w:rPr>
          <w:rFonts w:hint="eastAsia" w:ascii="仿宋" w:hAnsi="仿宋" w:eastAsia="仿宋" w:cs="仿宋"/>
          <w:color w:val="auto"/>
          <w:sz w:val="32"/>
          <w:szCs w:val="32"/>
          <w:highlight w:val="none"/>
          <w:u w:val="none"/>
        </w:rPr>
        <w:t xml:space="preserve"> </w:t>
      </w:r>
      <w:r>
        <w:rPr>
          <w:rFonts w:hint="eastAsia" w:ascii="仿宋" w:hAnsi="仿宋" w:eastAsia="仿宋" w:cs="仿宋"/>
          <w:color w:val="auto"/>
          <w:sz w:val="32"/>
          <w:szCs w:val="32"/>
          <w:highlight w:val="none"/>
          <w:u w:val="none"/>
        </w:rPr>
        <w:t>%,主要包括基本工资、津贴补贴、奖金</w:t>
      </w:r>
      <w:r>
        <w:rPr>
          <w:rFonts w:hint="eastAsia" w:ascii="仿宋" w:hAnsi="仿宋" w:eastAsia="仿宋" w:cs="仿宋"/>
          <w:color w:val="auto"/>
          <w:sz w:val="32"/>
          <w:szCs w:val="32"/>
          <w:highlight w:val="none"/>
          <w:u w:val="none"/>
          <w:lang w:val="en-US" w:eastAsia="zh-CN"/>
        </w:rPr>
        <w:t>等</w:t>
      </w:r>
      <w:r>
        <w:rPr>
          <w:rFonts w:hint="eastAsia" w:ascii="仿宋" w:hAnsi="仿宋" w:eastAsia="仿宋" w:cs="仿宋"/>
          <w:color w:val="auto"/>
          <w:sz w:val="32"/>
          <w:szCs w:val="32"/>
          <w:highlight w:val="none"/>
          <w:u w:val="none"/>
        </w:rPr>
        <w:t>；公用经费</w:t>
      </w:r>
      <w:r>
        <w:rPr>
          <w:rFonts w:hint="eastAsia" w:ascii="仿宋" w:hAnsi="仿宋" w:eastAsia="仿宋" w:cs="仿宋"/>
          <w:color w:val="auto"/>
          <w:sz w:val="32"/>
          <w:szCs w:val="32"/>
          <w:highlight w:val="none"/>
          <w:u w:val="none"/>
          <w:lang w:val="en-US" w:eastAsia="zh-CN"/>
        </w:rPr>
        <w:t>69.23</w:t>
      </w:r>
      <w:r>
        <w:rPr>
          <w:rFonts w:hint="eastAsia" w:ascii="仿宋" w:hAnsi="仿宋" w:eastAsia="仿宋" w:cs="仿宋"/>
          <w:color w:val="auto"/>
          <w:sz w:val="32"/>
          <w:szCs w:val="32"/>
          <w:highlight w:val="none"/>
          <w:u w:val="none"/>
        </w:rPr>
        <w:t>万元，占基本支出的</w:t>
      </w:r>
      <w:r>
        <w:rPr>
          <w:rFonts w:hint="eastAsia" w:ascii="仿宋" w:hAnsi="仿宋" w:eastAsia="仿宋" w:cs="仿宋"/>
          <w:color w:val="auto"/>
          <w:sz w:val="32"/>
          <w:szCs w:val="32"/>
          <w:highlight w:val="none"/>
          <w:u w:val="none"/>
          <w:lang w:val="en-US" w:eastAsia="zh-CN"/>
        </w:rPr>
        <w:t>9.64</w:t>
      </w:r>
      <w:r>
        <w:rPr>
          <w:rFonts w:hint="eastAsia" w:ascii="仿宋" w:hAnsi="仿宋" w:eastAsia="仿宋" w:cs="仿宋"/>
          <w:color w:val="auto"/>
          <w:sz w:val="32"/>
          <w:szCs w:val="32"/>
          <w:highlight w:val="none"/>
          <w:u w:val="none"/>
        </w:rPr>
        <w:t>%，主要包括办公费、印刷费、咨询费</w:t>
      </w:r>
      <w:r>
        <w:rPr>
          <w:rFonts w:hint="eastAsia" w:ascii="仿宋" w:hAnsi="仿宋" w:eastAsia="仿宋" w:cs="仿宋"/>
          <w:color w:val="auto"/>
          <w:sz w:val="32"/>
          <w:szCs w:val="32"/>
          <w:highlight w:val="none"/>
          <w:u w:val="none"/>
          <w:lang w:val="en-US" w:eastAsia="zh-CN"/>
        </w:rPr>
        <w:t>等</w:t>
      </w:r>
      <w:r>
        <w:rPr>
          <w:rFonts w:hint="eastAsia" w:ascii="仿宋" w:hAnsi="仿宋" w:eastAsia="仿宋" w:cs="仿宋"/>
          <w:color w:val="auto"/>
          <w:sz w:val="32"/>
          <w:szCs w:val="32"/>
          <w:highlight w:val="none"/>
          <w:u w:val="none"/>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七、一般公共预算财政拨款三公经费支出决算情况说明</w:t>
      </w:r>
    </w:p>
    <w:p>
      <w:pPr>
        <w:pStyle w:val="9"/>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（一）“三公”经费财政拨款支出决算总体情况说明</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“三公”经费财政拨款支出预算为</w:t>
      </w:r>
      <w:r>
        <w:rPr>
          <w:rFonts w:hint="eastAsia" w:ascii="仿宋" w:hAnsi="仿宋" w:eastAsia="仿宋" w:cs="仿宋"/>
          <w:color w:val="auto"/>
          <w:sz w:val="32"/>
          <w:szCs w:val="32"/>
          <w:highlight w:val="none"/>
          <w:u w:val="none"/>
          <w:lang w:val="en-US" w:eastAsia="zh-CN"/>
        </w:rPr>
        <w:t>3.4</w:t>
      </w:r>
      <w:r>
        <w:rPr>
          <w:rFonts w:hint="eastAsia" w:ascii="仿宋" w:hAnsi="仿宋" w:eastAsia="仿宋" w:cs="仿宋"/>
          <w:color w:val="auto"/>
          <w:sz w:val="32"/>
          <w:szCs w:val="32"/>
          <w:highlight w:val="none"/>
          <w:u w:val="none"/>
        </w:rPr>
        <w:t xml:space="preserve">万元，支出决算为   </w:t>
      </w:r>
      <w:r>
        <w:rPr>
          <w:rFonts w:hint="eastAsia" w:ascii="仿宋" w:hAnsi="仿宋" w:eastAsia="仿宋" w:cs="仿宋"/>
          <w:color w:val="auto"/>
          <w:sz w:val="32"/>
          <w:szCs w:val="32"/>
          <w:highlight w:val="none"/>
          <w:u w:val="none"/>
          <w:lang w:val="en-US" w:eastAsia="zh-CN"/>
        </w:rPr>
        <w:t>1.47</w:t>
      </w:r>
      <w:r>
        <w:rPr>
          <w:rFonts w:hint="eastAsia" w:ascii="仿宋" w:hAnsi="仿宋" w:eastAsia="仿宋" w:cs="仿宋"/>
          <w:color w:val="auto"/>
          <w:sz w:val="32"/>
          <w:szCs w:val="32"/>
          <w:highlight w:val="none"/>
          <w:u w:val="none"/>
        </w:rPr>
        <w:t>万元，完成预算的</w:t>
      </w:r>
      <w:r>
        <w:rPr>
          <w:rFonts w:hint="eastAsia" w:ascii="仿宋" w:hAnsi="仿宋" w:eastAsia="仿宋" w:cs="仿宋"/>
          <w:color w:val="auto"/>
          <w:sz w:val="32"/>
          <w:szCs w:val="32"/>
          <w:highlight w:val="none"/>
          <w:u w:val="none"/>
          <w:lang w:val="en-US" w:eastAsia="zh-CN"/>
        </w:rPr>
        <w:t>43.24</w:t>
      </w:r>
      <w:r>
        <w:rPr>
          <w:rFonts w:hint="eastAsia" w:ascii="仿宋" w:hAnsi="仿宋" w:eastAsia="仿宋" w:cs="仿宋"/>
          <w:color w:val="auto"/>
          <w:sz w:val="32"/>
          <w:szCs w:val="32"/>
          <w:highlight w:val="none"/>
          <w:u w:val="none"/>
        </w:rPr>
        <w:t>%，其中：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因公出国（境）费支出预算为0万元，支出决算为0万元，完成预算的0%，决算数等于年初预算数，与上年相比无变化，</w:t>
      </w:r>
      <w:r>
        <w:rPr>
          <w:rFonts w:hint="eastAsia" w:ascii="仿宋" w:hAnsi="仿宋" w:eastAsia="仿宋" w:cs="仿宋"/>
          <w:i w:val="0"/>
          <w:iCs w:val="0"/>
          <w:caps w:val="0"/>
          <w:color w:val="auto"/>
          <w:spacing w:val="0"/>
          <w:sz w:val="32"/>
          <w:szCs w:val="32"/>
          <w:highlight w:val="none"/>
          <w:shd w:val="clear" w:fill="FFFFFF"/>
          <w:lang w:val="en-US" w:eastAsia="zh-CN"/>
        </w:rPr>
        <w:t>主要原因是无</w:t>
      </w:r>
      <w:r>
        <w:rPr>
          <w:rFonts w:hint="eastAsia" w:ascii="仿宋" w:hAnsi="仿宋" w:eastAsia="仿宋" w:cs="仿宋"/>
          <w:i w:val="0"/>
          <w:iCs w:val="0"/>
          <w:caps w:val="0"/>
          <w:color w:val="auto"/>
          <w:spacing w:val="0"/>
          <w:sz w:val="32"/>
          <w:szCs w:val="32"/>
          <w:highlight w:val="none"/>
          <w:shd w:val="clear" w:fill="FFFFFF"/>
        </w:rPr>
        <w:t>因公出国（境）。</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公务接待费支出预算</w:t>
      </w:r>
      <w:r>
        <w:rPr>
          <w:rFonts w:hint="eastAsia" w:ascii="仿宋" w:hAnsi="仿宋" w:eastAsia="仿宋" w:cs="仿宋"/>
          <w:color w:val="auto"/>
          <w:sz w:val="32"/>
          <w:szCs w:val="32"/>
          <w:highlight w:val="none"/>
          <w:u w:val="none"/>
          <w:lang w:val="en-US" w:eastAsia="zh-CN"/>
        </w:rPr>
        <w:t>0.2</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0.19</w:t>
      </w:r>
      <w:r>
        <w:rPr>
          <w:rFonts w:hint="eastAsia" w:ascii="仿宋" w:hAnsi="仿宋" w:eastAsia="仿宋" w:cs="仿宋"/>
          <w:color w:val="auto"/>
          <w:sz w:val="32"/>
          <w:szCs w:val="32"/>
          <w:highlight w:val="none"/>
          <w:u w:val="none"/>
        </w:rPr>
        <w:t>万元，完成预算的</w:t>
      </w:r>
      <w:r>
        <w:rPr>
          <w:rFonts w:hint="eastAsia" w:ascii="仿宋" w:hAnsi="仿宋" w:eastAsia="仿宋" w:cs="仿宋"/>
          <w:color w:val="auto"/>
          <w:sz w:val="32"/>
          <w:szCs w:val="32"/>
          <w:highlight w:val="none"/>
          <w:u w:val="none"/>
          <w:lang w:val="en-US" w:eastAsia="zh-CN"/>
        </w:rPr>
        <w:t>95</w:t>
      </w:r>
      <w:r>
        <w:rPr>
          <w:rFonts w:hint="eastAsia" w:ascii="仿宋" w:hAnsi="仿宋" w:eastAsia="仿宋" w:cs="仿宋"/>
          <w:color w:val="auto"/>
          <w:sz w:val="32"/>
          <w:szCs w:val="32"/>
          <w:highlight w:val="none"/>
          <w:u w:val="none"/>
        </w:rPr>
        <w:t>%，决算数小于年初预算数的主要原因是积极贯彻落实中央、省委、市委、区委关于厉行节约的要求，从严控制公务接待行为。与上年相</w:t>
      </w:r>
      <w:r>
        <w:rPr>
          <w:rFonts w:hint="eastAsia" w:ascii="仿宋" w:hAnsi="仿宋" w:eastAsia="仿宋" w:cs="仿宋"/>
          <w:color w:val="auto"/>
          <w:sz w:val="32"/>
          <w:szCs w:val="32"/>
          <w:highlight w:val="none"/>
          <w:u w:val="none"/>
          <w:lang w:val="en-US" w:eastAsia="zh-CN"/>
        </w:rPr>
        <w:t>比，</w:t>
      </w:r>
      <w:r>
        <w:rPr>
          <w:rFonts w:hint="eastAsia" w:ascii="仿宋" w:hAnsi="仿宋" w:eastAsia="仿宋" w:cs="仿宋"/>
          <w:color w:val="auto"/>
          <w:sz w:val="32"/>
          <w:szCs w:val="32"/>
          <w:highlight w:val="none"/>
          <w:u w:val="none"/>
        </w:rPr>
        <w:t>增加</w:t>
      </w:r>
      <w:r>
        <w:rPr>
          <w:rFonts w:hint="eastAsia" w:ascii="仿宋" w:hAnsi="仿宋" w:eastAsia="仿宋" w:cs="仿宋"/>
          <w:color w:val="auto"/>
          <w:sz w:val="32"/>
          <w:szCs w:val="32"/>
          <w:highlight w:val="none"/>
          <w:u w:val="none"/>
          <w:lang w:val="en-US" w:eastAsia="zh-CN"/>
        </w:rPr>
        <w:t>0.19</w:t>
      </w:r>
      <w:r>
        <w:rPr>
          <w:rFonts w:hint="eastAsia" w:ascii="仿宋" w:hAnsi="仿宋" w:eastAsia="仿宋" w:cs="仿宋"/>
          <w:color w:val="auto"/>
          <w:sz w:val="32"/>
          <w:szCs w:val="32"/>
          <w:highlight w:val="none"/>
          <w:u w:val="none"/>
        </w:rPr>
        <w:t>万元，增长</w:t>
      </w:r>
      <w:r>
        <w:rPr>
          <w:rFonts w:hint="eastAsia" w:ascii="仿宋" w:hAnsi="仿宋" w:eastAsia="仿宋" w:cs="仿宋"/>
          <w:color w:val="auto"/>
          <w:sz w:val="32"/>
          <w:szCs w:val="32"/>
          <w:highlight w:val="none"/>
          <w:u w:val="none"/>
          <w:lang w:val="en-US" w:eastAsia="zh-CN"/>
        </w:rPr>
        <w:t>100</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rPr>
        <w:t>增长</w:t>
      </w:r>
      <w:r>
        <w:rPr>
          <w:rFonts w:hint="eastAsia" w:ascii="仿宋" w:hAnsi="仿宋" w:eastAsia="仿宋" w:cs="仿宋"/>
          <w:color w:val="auto"/>
          <w:sz w:val="32"/>
          <w:szCs w:val="32"/>
          <w:highlight w:val="none"/>
          <w:u w:val="none"/>
          <w:lang w:val="en-US" w:eastAsia="zh-CN"/>
        </w:rPr>
        <w:t>的</w:t>
      </w:r>
      <w:r>
        <w:rPr>
          <w:rFonts w:hint="eastAsia" w:ascii="仿宋" w:hAnsi="仿宋" w:eastAsia="仿宋" w:cs="仿宋"/>
          <w:color w:val="auto"/>
          <w:sz w:val="32"/>
          <w:szCs w:val="32"/>
          <w:highlight w:val="none"/>
          <w:u w:val="none"/>
        </w:rPr>
        <w:t>主要原因是</w:t>
      </w:r>
      <w:r>
        <w:rPr>
          <w:rFonts w:hint="eastAsia" w:ascii="仿宋" w:hAnsi="仿宋" w:eastAsia="仿宋" w:cs="仿宋"/>
          <w:color w:val="auto"/>
          <w:sz w:val="32"/>
          <w:szCs w:val="32"/>
          <w:highlight w:val="none"/>
          <w:u w:val="none"/>
          <w:lang w:val="en-US" w:eastAsia="zh-CN"/>
        </w:rPr>
        <w:t>用于</w:t>
      </w:r>
      <w:r>
        <w:rPr>
          <w:rFonts w:hint="eastAsia" w:ascii="仿宋" w:hAnsi="仿宋" w:eastAsia="仿宋" w:cs="仿宋"/>
          <w:color w:val="auto"/>
          <w:sz w:val="32"/>
          <w:szCs w:val="32"/>
          <w:highlight w:val="none"/>
          <w:u w:val="none"/>
        </w:rPr>
        <w:t>公务接待</w:t>
      </w:r>
      <w:r>
        <w:rPr>
          <w:rFonts w:hint="eastAsia" w:ascii="仿宋" w:hAnsi="仿宋" w:eastAsia="仿宋" w:cs="仿宋"/>
          <w:color w:val="auto"/>
          <w:sz w:val="32"/>
          <w:szCs w:val="32"/>
          <w:highlight w:val="none"/>
          <w:u w:val="none"/>
          <w:lang w:val="en-US" w:eastAsia="zh-CN"/>
        </w:rPr>
        <w:t>工作</w:t>
      </w:r>
      <w:r>
        <w:rPr>
          <w:rFonts w:hint="eastAsia" w:ascii="仿宋" w:hAnsi="仿宋" w:eastAsia="仿宋" w:cs="仿宋"/>
          <w:color w:val="auto"/>
          <w:sz w:val="32"/>
          <w:szCs w:val="32"/>
          <w:highlight w:val="none"/>
          <w:u w:val="none"/>
        </w:rPr>
        <w:t>。</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公务用车购置费及运行维护费支出预算为</w:t>
      </w:r>
      <w:r>
        <w:rPr>
          <w:rFonts w:hint="eastAsia" w:ascii="仿宋" w:hAnsi="仿宋" w:eastAsia="仿宋" w:cs="仿宋"/>
          <w:color w:val="auto"/>
          <w:sz w:val="32"/>
          <w:szCs w:val="32"/>
          <w:highlight w:val="none"/>
          <w:u w:val="none"/>
          <w:lang w:val="en-US" w:eastAsia="zh-CN"/>
        </w:rPr>
        <w:t>3.2</w:t>
      </w:r>
      <w:r>
        <w:rPr>
          <w:rFonts w:hint="eastAsia" w:ascii="仿宋" w:hAnsi="仿宋" w:eastAsia="仿宋" w:cs="仿宋"/>
          <w:color w:val="auto"/>
          <w:sz w:val="32"/>
          <w:szCs w:val="32"/>
          <w:highlight w:val="none"/>
          <w:u w:val="none"/>
        </w:rPr>
        <w:t>万元，支出决算为</w:t>
      </w:r>
      <w:r>
        <w:rPr>
          <w:rFonts w:hint="eastAsia" w:ascii="仿宋" w:hAnsi="仿宋" w:eastAsia="仿宋" w:cs="仿宋"/>
          <w:color w:val="auto"/>
          <w:sz w:val="32"/>
          <w:szCs w:val="32"/>
          <w:highlight w:val="none"/>
          <w:u w:val="none"/>
          <w:lang w:val="en-US" w:eastAsia="zh-CN"/>
        </w:rPr>
        <w:t>1.28</w:t>
      </w:r>
      <w:r>
        <w:rPr>
          <w:rFonts w:hint="eastAsia" w:ascii="仿宋" w:hAnsi="仿宋" w:eastAsia="仿宋" w:cs="仿宋"/>
          <w:color w:val="auto"/>
          <w:sz w:val="32"/>
          <w:szCs w:val="32"/>
          <w:highlight w:val="none"/>
          <w:u w:val="none"/>
        </w:rPr>
        <w:t>万元，完成预算的</w:t>
      </w:r>
      <w:r>
        <w:rPr>
          <w:rFonts w:hint="eastAsia" w:ascii="仿宋" w:hAnsi="仿宋" w:eastAsia="仿宋" w:cs="仿宋"/>
          <w:color w:val="auto"/>
          <w:sz w:val="32"/>
          <w:szCs w:val="32"/>
          <w:highlight w:val="none"/>
          <w:u w:val="none"/>
          <w:lang w:val="en-US" w:eastAsia="zh-CN"/>
        </w:rPr>
        <w:t>40</w:t>
      </w:r>
      <w:r>
        <w:rPr>
          <w:rFonts w:hint="eastAsia" w:ascii="仿宋" w:hAnsi="仿宋" w:eastAsia="仿宋" w:cs="仿宋"/>
          <w:color w:val="auto"/>
          <w:sz w:val="32"/>
          <w:szCs w:val="32"/>
          <w:highlight w:val="none"/>
          <w:u w:val="none"/>
        </w:rPr>
        <w:t>%，决算数小于年初预算数的主要原因</w:t>
      </w:r>
      <w:r>
        <w:rPr>
          <w:rFonts w:hint="eastAsia" w:ascii="仿宋" w:hAnsi="仿宋" w:eastAsia="仿宋" w:cs="仿宋"/>
          <w:color w:val="auto"/>
          <w:sz w:val="32"/>
          <w:szCs w:val="32"/>
          <w:highlight w:val="none"/>
          <w:u w:val="none"/>
          <w:lang w:val="en-US" w:eastAsia="zh-CN"/>
        </w:rPr>
        <w:t>是公务用车改革</w:t>
      </w:r>
      <w:r>
        <w:rPr>
          <w:rFonts w:hint="eastAsia" w:ascii="仿宋" w:hAnsi="仿宋" w:eastAsia="仿宋" w:cs="仿宋"/>
          <w:color w:val="auto"/>
          <w:sz w:val="32"/>
          <w:szCs w:val="32"/>
          <w:highlight w:val="none"/>
          <w:u w:val="none"/>
        </w:rPr>
        <w:t>，与上年相比减少</w:t>
      </w:r>
      <w:r>
        <w:rPr>
          <w:rFonts w:hint="eastAsia" w:ascii="仿宋" w:hAnsi="仿宋" w:eastAsia="仿宋" w:cs="仿宋"/>
          <w:color w:val="auto"/>
          <w:sz w:val="32"/>
          <w:szCs w:val="32"/>
          <w:highlight w:val="none"/>
          <w:u w:val="none"/>
          <w:lang w:val="en-US" w:eastAsia="zh-CN"/>
        </w:rPr>
        <w:t>1.85</w:t>
      </w:r>
      <w:r>
        <w:rPr>
          <w:rFonts w:hint="eastAsia" w:ascii="仿宋" w:hAnsi="仿宋" w:eastAsia="仿宋" w:cs="仿宋"/>
          <w:color w:val="auto"/>
          <w:sz w:val="32"/>
          <w:szCs w:val="32"/>
          <w:highlight w:val="none"/>
          <w:u w:val="none"/>
        </w:rPr>
        <w:t>万元，减少</w:t>
      </w:r>
      <w:r>
        <w:rPr>
          <w:rFonts w:hint="eastAsia" w:ascii="仿宋" w:hAnsi="仿宋" w:eastAsia="仿宋" w:cs="仿宋"/>
          <w:color w:val="auto"/>
          <w:sz w:val="32"/>
          <w:szCs w:val="32"/>
          <w:highlight w:val="none"/>
          <w:u w:val="none"/>
          <w:lang w:val="en-US" w:eastAsia="zh-CN"/>
        </w:rPr>
        <w:t>60</w:t>
      </w:r>
      <w:r>
        <w:rPr>
          <w:rFonts w:hint="eastAsia" w:ascii="仿宋" w:hAnsi="仿宋" w:eastAsia="仿宋" w:cs="仿宋"/>
          <w:color w:val="auto"/>
          <w:sz w:val="32"/>
          <w:szCs w:val="32"/>
          <w:highlight w:val="none"/>
          <w:u w:val="none"/>
        </w:rPr>
        <w:t xml:space="preserve"> %,减少的主要原因是</w:t>
      </w:r>
      <w:r>
        <w:rPr>
          <w:rFonts w:hint="eastAsia" w:ascii="仿宋" w:hAnsi="仿宋" w:eastAsia="仿宋" w:cs="仿宋"/>
          <w:color w:val="auto"/>
          <w:sz w:val="32"/>
          <w:szCs w:val="32"/>
          <w:highlight w:val="none"/>
          <w:u w:val="none"/>
          <w:lang w:val="en-US" w:eastAsia="zh-CN"/>
        </w:rPr>
        <w:t>公务用车改革</w:t>
      </w:r>
      <w:r>
        <w:rPr>
          <w:rFonts w:hint="eastAsia" w:ascii="仿宋" w:hAnsi="仿宋" w:eastAsia="仿宋" w:cs="仿宋"/>
          <w:color w:val="auto"/>
          <w:sz w:val="32"/>
          <w:szCs w:val="32"/>
          <w:highlight w:val="none"/>
          <w:u w:val="none"/>
        </w:rPr>
        <w:t>。</w:t>
      </w:r>
    </w:p>
    <w:p>
      <w:pPr>
        <w:pStyle w:val="9"/>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（二）“三公”经费财政拨款支出决算具体情况说明</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2020</w:t>
      </w:r>
      <w:r>
        <w:rPr>
          <w:rFonts w:hint="eastAsia" w:ascii="仿宋" w:hAnsi="仿宋" w:eastAsia="仿宋" w:cs="仿宋"/>
          <w:color w:val="auto"/>
          <w:sz w:val="32"/>
          <w:szCs w:val="32"/>
          <w:highlight w:val="none"/>
          <w:u w:val="none"/>
        </w:rPr>
        <w:t>年度“三公”经费财政拨款支出决算中，公务接待费支出决算</w:t>
      </w:r>
      <w:r>
        <w:rPr>
          <w:rFonts w:hint="eastAsia" w:ascii="仿宋" w:hAnsi="仿宋" w:eastAsia="仿宋" w:cs="仿宋"/>
          <w:color w:val="auto"/>
          <w:sz w:val="32"/>
          <w:szCs w:val="32"/>
          <w:highlight w:val="none"/>
          <w:u w:val="none"/>
          <w:lang w:val="en-US" w:eastAsia="zh-CN"/>
        </w:rPr>
        <w:t>0.19</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12.93</w:t>
      </w:r>
      <w:r>
        <w:rPr>
          <w:rFonts w:hint="eastAsia" w:ascii="仿宋" w:hAnsi="仿宋" w:eastAsia="仿宋" w:cs="仿宋"/>
          <w:color w:val="auto"/>
          <w:sz w:val="32"/>
          <w:szCs w:val="32"/>
          <w:highlight w:val="none"/>
          <w:u w:val="none"/>
        </w:rPr>
        <w:t>%,因公出国（境）费支出决算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%,公务用车购置费及运行维护费支出决算</w:t>
      </w:r>
      <w:r>
        <w:rPr>
          <w:rFonts w:hint="eastAsia" w:ascii="仿宋" w:hAnsi="仿宋" w:eastAsia="仿宋" w:cs="仿宋"/>
          <w:color w:val="auto"/>
          <w:sz w:val="32"/>
          <w:szCs w:val="32"/>
          <w:highlight w:val="none"/>
          <w:u w:val="none"/>
          <w:lang w:val="en-US" w:eastAsia="zh-CN"/>
        </w:rPr>
        <w:t>1.28</w:t>
      </w:r>
      <w:r>
        <w:rPr>
          <w:rFonts w:hint="eastAsia" w:ascii="仿宋" w:hAnsi="仿宋" w:eastAsia="仿宋" w:cs="仿宋"/>
          <w:color w:val="auto"/>
          <w:sz w:val="32"/>
          <w:szCs w:val="32"/>
          <w:highlight w:val="none"/>
          <w:u w:val="none"/>
        </w:rPr>
        <w:t>万元，占</w:t>
      </w:r>
      <w:r>
        <w:rPr>
          <w:rFonts w:hint="eastAsia" w:ascii="仿宋" w:hAnsi="仿宋" w:eastAsia="仿宋" w:cs="仿宋"/>
          <w:color w:val="auto"/>
          <w:sz w:val="32"/>
          <w:szCs w:val="32"/>
          <w:highlight w:val="none"/>
          <w:u w:val="none"/>
          <w:lang w:val="en-US" w:eastAsia="zh-CN"/>
        </w:rPr>
        <w:t>87.07</w:t>
      </w:r>
      <w:r>
        <w:rPr>
          <w:rFonts w:hint="eastAsia" w:ascii="仿宋" w:hAnsi="仿宋" w:eastAsia="仿宋" w:cs="仿宋"/>
          <w:color w:val="auto"/>
          <w:sz w:val="32"/>
          <w:szCs w:val="32"/>
          <w:highlight w:val="none"/>
          <w:u w:val="none"/>
        </w:rPr>
        <w:t>%。其中：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1、因公出国（境）费支出决算为0万元，全年安排因公出国（境）团组0个，累计0人次,无因公出国（境）费开支。</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2、公务接待费支出决算为</w:t>
      </w:r>
      <w:r>
        <w:rPr>
          <w:rFonts w:hint="eastAsia" w:ascii="仿宋" w:hAnsi="仿宋" w:eastAsia="仿宋" w:cs="仿宋"/>
          <w:color w:val="auto"/>
          <w:sz w:val="32"/>
          <w:szCs w:val="32"/>
          <w:highlight w:val="none"/>
          <w:u w:val="none"/>
          <w:lang w:val="en-US" w:eastAsia="zh-CN"/>
        </w:rPr>
        <w:t>0.19</w:t>
      </w:r>
      <w:r>
        <w:rPr>
          <w:rFonts w:hint="eastAsia" w:ascii="仿宋" w:hAnsi="仿宋" w:eastAsia="仿宋" w:cs="仿宋"/>
          <w:color w:val="auto"/>
          <w:sz w:val="32"/>
          <w:szCs w:val="32"/>
          <w:highlight w:val="none"/>
          <w:u w:val="none"/>
        </w:rPr>
        <w:t>万元，</w:t>
      </w:r>
      <w:r>
        <w:rPr>
          <w:rFonts w:hint="eastAsia" w:ascii="仿宋" w:hAnsi="仿宋" w:eastAsia="仿宋" w:cs="仿宋"/>
          <w:color w:val="auto"/>
          <w:sz w:val="32"/>
          <w:szCs w:val="32"/>
          <w:highlight w:val="none"/>
          <w:u w:val="none"/>
        </w:rPr>
        <w:t>全年共接待来访团组</w:t>
      </w: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sz w:val="32"/>
          <w:szCs w:val="32"/>
          <w:highlight w:val="none"/>
          <w:u w:val="none"/>
        </w:rPr>
        <w:t>个、来宾</w:t>
      </w:r>
      <w:r>
        <w:rPr>
          <w:rFonts w:hint="eastAsia" w:ascii="仿宋" w:hAnsi="仿宋" w:eastAsia="仿宋" w:cs="仿宋"/>
          <w:color w:val="auto"/>
          <w:sz w:val="32"/>
          <w:szCs w:val="32"/>
          <w:highlight w:val="none"/>
          <w:u w:val="none"/>
          <w:lang w:val="en-US" w:eastAsia="zh-CN"/>
        </w:rPr>
        <w:t>16</w:t>
      </w:r>
      <w:r>
        <w:rPr>
          <w:rFonts w:hint="eastAsia" w:ascii="仿宋" w:hAnsi="仿宋" w:eastAsia="仿宋" w:cs="仿宋"/>
          <w:color w:val="auto"/>
          <w:sz w:val="32"/>
          <w:szCs w:val="32"/>
          <w:highlight w:val="none"/>
          <w:u w:val="none"/>
        </w:rPr>
        <w:t>人次，主要是</w:t>
      </w:r>
      <w:r>
        <w:rPr>
          <w:rFonts w:hint="eastAsia" w:ascii="仿宋" w:hAnsi="仿宋" w:eastAsia="仿宋" w:cs="仿宋"/>
          <w:color w:val="auto"/>
          <w:sz w:val="32"/>
          <w:szCs w:val="32"/>
          <w:highlight w:val="none"/>
          <w:u w:val="none"/>
          <w:lang w:eastAsia="zh-CN"/>
        </w:rPr>
        <w:t>中国经济体制改革研究会评估调研组赴长调研</w:t>
      </w:r>
      <w:r>
        <w:rPr>
          <w:rFonts w:hint="eastAsia" w:ascii="仿宋" w:hAnsi="仿宋" w:eastAsia="仿宋" w:cs="仿宋"/>
          <w:color w:val="auto"/>
          <w:sz w:val="32"/>
          <w:szCs w:val="32"/>
          <w:highlight w:val="none"/>
          <w:u w:val="none"/>
        </w:rPr>
        <w:t>发生的接待支出。</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sz w:val="32"/>
          <w:szCs w:val="32"/>
          <w:highlight w:val="none"/>
          <w:u w:val="none"/>
        </w:rPr>
        <w:t>3、公务用车购置费及运行维护费支出决算为</w:t>
      </w:r>
      <w:r>
        <w:rPr>
          <w:rFonts w:hint="eastAsia" w:ascii="仿宋" w:hAnsi="仿宋" w:eastAsia="仿宋" w:cs="仿宋"/>
          <w:color w:val="auto"/>
          <w:sz w:val="32"/>
          <w:szCs w:val="32"/>
          <w:highlight w:val="none"/>
          <w:u w:val="none"/>
          <w:lang w:val="en-US" w:eastAsia="zh-CN"/>
        </w:rPr>
        <w:t>1.28</w:t>
      </w:r>
      <w:r>
        <w:rPr>
          <w:rFonts w:hint="eastAsia" w:ascii="仿宋" w:hAnsi="仿宋" w:eastAsia="仿宋" w:cs="仿宋"/>
          <w:color w:val="auto"/>
          <w:sz w:val="32"/>
          <w:szCs w:val="32"/>
          <w:highlight w:val="none"/>
          <w:u w:val="none"/>
        </w:rPr>
        <w:t>万元，其中：公务用车购置费</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万元。公务用车运行维护费</w:t>
      </w:r>
      <w:r>
        <w:rPr>
          <w:rFonts w:hint="eastAsia" w:ascii="仿宋" w:hAnsi="仿宋" w:eastAsia="仿宋" w:cs="仿宋"/>
          <w:color w:val="auto"/>
          <w:sz w:val="32"/>
          <w:szCs w:val="32"/>
          <w:highlight w:val="none"/>
          <w:u w:val="none"/>
          <w:lang w:val="en-US" w:eastAsia="zh-CN"/>
        </w:rPr>
        <w:t>1.28</w:t>
      </w:r>
      <w:r>
        <w:rPr>
          <w:rFonts w:hint="eastAsia" w:ascii="仿宋" w:hAnsi="仿宋" w:eastAsia="仿宋" w:cs="仿宋"/>
          <w:color w:val="auto"/>
          <w:sz w:val="32"/>
          <w:szCs w:val="32"/>
          <w:highlight w:val="none"/>
          <w:u w:val="none"/>
        </w:rPr>
        <w:t>万元，主要</w:t>
      </w:r>
      <w:r>
        <w:rPr>
          <w:rFonts w:hint="eastAsia" w:ascii="仿宋" w:hAnsi="仿宋" w:eastAsia="仿宋" w:cs="仿宋"/>
          <w:color w:val="auto"/>
          <w:sz w:val="32"/>
          <w:szCs w:val="32"/>
          <w:highlight w:val="none"/>
          <w:u w:val="none"/>
          <w:lang w:val="en-US" w:eastAsia="zh-CN"/>
        </w:rPr>
        <w:t>是汽油费</w:t>
      </w:r>
      <w:r>
        <w:rPr>
          <w:rFonts w:hint="eastAsia" w:ascii="仿宋" w:hAnsi="仿宋" w:eastAsia="仿宋" w:cs="仿宋"/>
          <w:color w:val="auto"/>
          <w:sz w:val="32"/>
          <w:szCs w:val="32"/>
          <w:highlight w:val="none"/>
          <w:u w:val="none"/>
        </w:rPr>
        <w:t>支出，截止</w:t>
      </w:r>
      <w:r>
        <w:rPr>
          <w:rFonts w:hint="eastAsia" w:ascii="仿宋" w:hAnsi="仿宋" w:eastAsia="仿宋" w:cs="仿宋"/>
          <w:color w:val="auto"/>
          <w:sz w:val="32"/>
          <w:szCs w:val="32"/>
          <w:highlight w:val="none"/>
          <w:u w:val="none"/>
          <w:lang w:val="en-US" w:eastAsia="zh-CN"/>
        </w:rPr>
        <w:t>2020</w:t>
      </w:r>
      <w:r>
        <w:rPr>
          <w:rFonts w:hint="eastAsia" w:ascii="仿宋" w:hAnsi="仿宋" w:eastAsia="仿宋" w:cs="仿宋"/>
          <w:color w:val="auto"/>
          <w:sz w:val="32"/>
          <w:szCs w:val="32"/>
          <w:highlight w:val="none"/>
          <w:u w:val="none"/>
        </w:rPr>
        <w:t>年12月31日，我单位开支财政拨款的公务用车保有量为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辆。</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黑体" w:hAnsi="黑体" w:eastAsia="黑体" w:cs="黑体"/>
          <w:color w:val="auto"/>
          <w:sz w:val="32"/>
          <w:szCs w:val="32"/>
          <w:highlight w:val="none"/>
          <w:u w:val="none"/>
        </w:rPr>
        <w:t>八、政府性基金预算收入支出决算情况</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2020</w:t>
      </w:r>
      <w:r>
        <w:rPr>
          <w:rFonts w:hint="eastAsia" w:ascii="仿宋" w:hAnsi="仿宋" w:eastAsia="仿宋" w:cs="仿宋"/>
          <w:color w:val="auto"/>
          <w:sz w:val="32"/>
          <w:szCs w:val="32"/>
          <w:highlight w:val="none"/>
          <w:u w:val="none"/>
        </w:rPr>
        <w:t>年度政府性基金预算财政拨款收入</w:t>
      </w:r>
      <w:r>
        <w:rPr>
          <w:rFonts w:hint="eastAsia" w:ascii="仿宋" w:hAnsi="仿宋" w:eastAsia="仿宋" w:cs="仿宋"/>
          <w:color w:val="auto"/>
          <w:sz w:val="32"/>
          <w:szCs w:val="32"/>
          <w:highlight w:val="none"/>
          <w:u w:val="none"/>
          <w:lang w:val="en-US" w:eastAsia="zh-CN"/>
        </w:rPr>
        <w:t>7</w:t>
      </w:r>
      <w:r>
        <w:rPr>
          <w:rFonts w:hint="eastAsia" w:ascii="仿宋" w:hAnsi="仿宋" w:eastAsia="仿宋" w:cs="仿宋"/>
          <w:color w:val="auto"/>
          <w:sz w:val="32"/>
          <w:szCs w:val="32"/>
          <w:highlight w:val="none"/>
          <w:u w:val="none"/>
        </w:rPr>
        <w:t>万元；年初结转和结余</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万元；支出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万元，其中基本支出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万元，项目支出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万元；年末结转和结余</w:t>
      </w:r>
      <w:r>
        <w:rPr>
          <w:rFonts w:hint="eastAsia" w:ascii="仿宋" w:hAnsi="仿宋" w:eastAsia="仿宋" w:cs="仿宋"/>
          <w:color w:val="auto"/>
          <w:sz w:val="32"/>
          <w:szCs w:val="32"/>
          <w:highlight w:val="none"/>
          <w:u w:val="none"/>
          <w:lang w:val="en-US" w:eastAsia="zh-CN"/>
        </w:rPr>
        <w:t>7</w:t>
      </w:r>
      <w:r>
        <w:rPr>
          <w:rFonts w:hint="eastAsia" w:ascii="仿宋" w:hAnsi="仿宋" w:eastAsia="仿宋" w:cs="仿宋"/>
          <w:color w:val="auto"/>
          <w:sz w:val="32"/>
          <w:szCs w:val="32"/>
          <w:highlight w:val="none"/>
          <w:u w:val="none"/>
        </w:rPr>
        <w:t>万元。</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九、关于</w:t>
      </w:r>
      <w:r>
        <w:rPr>
          <w:rFonts w:hint="eastAsia" w:ascii="黑体" w:hAnsi="黑体" w:eastAsia="黑体" w:cs="黑体"/>
          <w:color w:val="auto"/>
          <w:sz w:val="32"/>
          <w:szCs w:val="32"/>
          <w:highlight w:val="none"/>
          <w:u w:val="none"/>
          <w:lang w:val="en-US" w:eastAsia="zh-CN"/>
        </w:rPr>
        <w:t>2020</w:t>
      </w:r>
      <w:r>
        <w:rPr>
          <w:rFonts w:hint="eastAsia" w:ascii="黑体" w:hAnsi="黑体" w:eastAsia="黑体" w:cs="黑体"/>
          <w:color w:val="auto"/>
          <w:sz w:val="32"/>
          <w:szCs w:val="32"/>
          <w:highlight w:val="none"/>
          <w:u w:val="none"/>
        </w:rPr>
        <w:t>年度预算绩效情况说明</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本部门预算绩效管理严格按照年初预算绩效目标开展，进一步推进了本部门财政支出绩效评价工作的有序开展，建立了“项目申报有目标”、“项目执行有跟踪”、“项目结束有评估”、“项目反馈有整改”的预算绩效管理工作体制。</w:t>
      </w:r>
    </w:p>
    <w:p>
      <w:pPr>
        <w:pStyle w:val="9"/>
        <w:keepNext w:val="0"/>
        <w:keepLines w:val="0"/>
        <w:pageBreakBefore w:val="0"/>
        <w:kinsoku/>
        <w:wordWrap/>
        <w:overflowPunct/>
        <w:topLinePunct w:val="0"/>
        <w:bidi w:val="0"/>
        <w:spacing w:line="60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十、其他重要事项情况说明</w:t>
      </w:r>
    </w:p>
    <w:p>
      <w:pPr>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b/>
          <w:color w:val="auto"/>
          <w:kern w:val="0"/>
          <w:sz w:val="32"/>
          <w:szCs w:val="32"/>
          <w:highlight w:val="none"/>
          <w:u w:val="none"/>
        </w:rPr>
      </w:pPr>
      <w:r>
        <w:rPr>
          <w:rFonts w:hint="eastAsia" w:ascii="仿宋" w:hAnsi="仿宋" w:eastAsia="仿宋" w:cs="仿宋"/>
          <w:b/>
          <w:color w:val="auto"/>
          <w:kern w:val="0"/>
          <w:sz w:val="32"/>
          <w:szCs w:val="32"/>
          <w:highlight w:val="none"/>
          <w:u w:val="none"/>
        </w:rPr>
        <w:t>（一）机关运行经费支出情况</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kern w:val="0"/>
          <w:sz w:val="32"/>
          <w:szCs w:val="32"/>
          <w:highlight w:val="none"/>
          <w:u w:val="none"/>
          <w:lang w:val="en-US" w:eastAsia="zh-CN"/>
        </w:rPr>
      </w:pPr>
      <w:r>
        <w:rPr>
          <w:rFonts w:hint="eastAsia" w:ascii="仿宋" w:hAnsi="仿宋" w:eastAsia="仿宋" w:cs="仿宋"/>
          <w:color w:val="auto"/>
          <w:kern w:val="0"/>
          <w:sz w:val="32"/>
          <w:szCs w:val="32"/>
          <w:highlight w:val="none"/>
          <w:u w:val="none"/>
        </w:rPr>
        <w:t>本部门</w:t>
      </w:r>
      <w:r>
        <w:rPr>
          <w:rFonts w:hint="eastAsia" w:ascii="仿宋" w:hAnsi="仿宋" w:eastAsia="仿宋" w:cs="仿宋"/>
          <w:b/>
          <w:bCs/>
          <w:color w:val="auto"/>
          <w:kern w:val="0"/>
          <w:sz w:val="32"/>
          <w:szCs w:val="32"/>
          <w:highlight w:val="none"/>
          <w:u w:val="none"/>
          <w:lang w:val="en-US" w:eastAsia="zh-CN"/>
        </w:rPr>
        <w:t>2020</w:t>
      </w:r>
      <w:r>
        <w:rPr>
          <w:rFonts w:hint="eastAsia" w:ascii="仿宋" w:hAnsi="仿宋" w:eastAsia="仿宋" w:cs="仿宋"/>
          <w:color w:val="auto"/>
          <w:kern w:val="0"/>
          <w:sz w:val="32"/>
          <w:szCs w:val="32"/>
          <w:highlight w:val="none"/>
          <w:u w:val="none"/>
        </w:rPr>
        <w:t>年度机关运行经费支出</w:t>
      </w:r>
      <w:r>
        <w:rPr>
          <w:rFonts w:hint="eastAsia" w:ascii="仿宋" w:hAnsi="仿宋" w:eastAsia="仿宋" w:cs="仿宋"/>
          <w:color w:val="auto"/>
          <w:sz w:val="32"/>
          <w:szCs w:val="32"/>
          <w:highlight w:val="none"/>
          <w:u w:val="none"/>
          <w:lang w:val="en-US" w:eastAsia="zh-CN"/>
        </w:rPr>
        <w:t>69.23</w:t>
      </w:r>
      <w:r>
        <w:rPr>
          <w:rFonts w:hint="eastAsia" w:ascii="仿宋" w:hAnsi="仿宋" w:eastAsia="仿宋" w:cs="仿宋"/>
          <w:color w:val="auto"/>
          <w:kern w:val="0"/>
          <w:sz w:val="32"/>
          <w:szCs w:val="32"/>
          <w:highlight w:val="none"/>
          <w:u w:val="none"/>
        </w:rPr>
        <w:t>万元，比年初预算数减少</w:t>
      </w:r>
      <w:r>
        <w:rPr>
          <w:rFonts w:hint="eastAsia" w:ascii="仿宋" w:hAnsi="仿宋" w:eastAsia="仿宋" w:cs="仿宋"/>
          <w:color w:val="auto"/>
          <w:sz w:val="32"/>
          <w:szCs w:val="32"/>
          <w:highlight w:val="none"/>
          <w:u w:val="none"/>
          <w:lang w:val="en-US" w:eastAsia="zh-CN"/>
        </w:rPr>
        <w:t>0.56</w:t>
      </w:r>
      <w:r>
        <w:rPr>
          <w:rFonts w:hint="eastAsia" w:ascii="仿宋" w:hAnsi="仿宋" w:eastAsia="仿宋" w:cs="仿宋"/>
          <w:color w:val="auto"/>
          <w:kern w:val="0"/>
          <w:sz w:val="32"/>
          <w:szCs w:val="32"/>
          <w:highlight w:val="none"/>
          <w:u w:val="none"/>
        </w:rPr>
        <w:t>万元，降低</w:t>
      </w:r>
      <w:r>
        <w:rPr>
          <w:rFonts w:hint="eastAsia" w:ascii="仿宋" w:hAnsi="仿宋" w:eastAsia="仿宋" w:cs="仿宋"/>
          <w:color w:val="auto"/>
          <w:sz w:val="32"/>
          <w:szCs w:val="32"/>
          <w:highlight w:val="none"/>
          <w:u w:val="none"/>
          <w:lang w:val="en-US" w:eastAsia="zh-CN"/>
        </w:rPr>
        <w:t>0.8</w:t>
      </w:r>
      <w:r>
        <w:rPr>
          <w:rFonts w:hint="eastAsia" w:ascii="仿宋" w:hAnsi="仿宋" w:eastAsia="仿宋" w:cs="仿宋"/>
          <w:color w:val="auto"/>
          <w:kern w:val="0"/>
          <w:sz w:val="32"/>
          <w:szCs w:val="32"/>
          <w:highlight w:val="none"/>
          <w:u w:val="none"/>
        </w:rPr>
        <w:t>%。主要原因是：</w:t>
      </w:r>
      <w:r>
        <w:rPr>
          <w:rFonts w:hint="eastAsia" w:ascii="仿宋" w:hAnsi="仿宋" w:eastAsia="仿宋" w:cs="仿宋"/>
          <w:color w:val="auto"/>
          <w:kern w:val="0"/>
          <w:sz w:val="32"/>
          <w:szCs w:val="32"/>
          <w:highlight w:val="none"/>
          <w:u w:val="none"/>
          <w:lang w:val="en-US" w:eastAsia="zh-CN"/>
        </w:rPr>
        <w:t>严控机关运行经费等。</w:t>
      </w:r>
    </w:p>
    <w:p>
      <w:pPr>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b/>
          <w:color w:val="auto"/>
          <w:kern w:val="0"/>
          <w:sz w:val="32"/>
          <w:szCs w:val="32"/>
          <w:highlight w:val="none"/>
          <w:u w:val="none"/>
        </w:rPr>
      </w:pPr>
      <w:r>
        <w:rPr>
          <w:rFonts w:hint="eastAsia" w:ascii="仿宋" w:hAnsi="仿宋" w:eastAsia="仿宋" w:cs="仿宋"/>
          <w:b/>
          <w:color w:val="auto"/>
          <w:kern w:val="0"/>
          <w:sz w:val="32"/>
          <w:szCs w:val="32"/>
          <w:highlight w:val="none"/>
          <w:u w:val="none"/>
        </w:rPr>
        <w:t>（二）一般性支出情况</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lang w:val="en-US" w:eastAsia="zh-CN"/>
        </w:rPr>
        <w:t>2020</w:t>
      </w:r>
      <w:r>
        <w:rPr>
          <w:rFonts w:hint="eastAsia" w:ascii="仿宋" w:hAnsi="仿宋" w:eastAsia="仿宋" w:cs="仿宋"/>
          <w:color w:val="auto"/>
          <w:kern w:val="0"/>
          <w:sz w:val="32"/>
          <w:szCs w:val="32"/>
          <w:highlight w:val="none"/>
          <w:u w:val="none"/>
        </w:rPr>
        <w:t>年本部门开支会议费</w:t>
      </w:r>
      <w:r>
        <w:rPr>
          <w:rFonts w:hint="eastAsia" w:ascii="仿宋" w:hAnsi="仿宋" w:eastAsia="仿宋" w:cs="仿宋"/>
          <w:color w:val="auto"/>
          <w:kern w:val="0"/>
          <w:sz w:val="32"/>
          <w:szCs w:val="32"/>
          <w:highlight w:val="none"/>
          <w:u w:val="none"/>
          <w:lang w:val="en-US" w:eastAsia="zh-CN"/>
        </w:rPr>
        <w:t>2.26</w:t>
      </w:r>
      <w:r>
        <w:rPr>
          <w:rFonts w:hint="eastAsia" w:ascii="仿宋" w:hAnsi="仿宋" w:eastAsia="仿宋" w:cs="仿宋"/>
          <w:color w:val="auto"/>
          <w:kern w:val="0"/>
          <w:sz w:val="32"/>
          <w:szCs w:val="32"/>
          <w:highlight w:val="none"/>
          <w:u w:val="none"/>
        </w:rPr>
        <w:t>万元，用于召开</w:t>
      </w:r>
      <w:r>
        <w:rPr>
          <w:rFonts w:hint="eastAsia" w:ascii="仿宋" w:hAnsi="仿宋" w:eastAsia="仿宋" w:cs="仿宋"/>
          <w:color w:val="auto"/>
          <w:kern w:val="0"/>
          <w:sz w:val="32"/>
          <w:szCs w:val="32"/>
          <w:highlight w:val="none"/>
          <w:u w:val="none"/>
          <w:lang w:eastAsia="zh-CN"/>
        </w:rPr>
        <w:t>全区重大项目调度</w:t>
      </w:r>
      <w:r>
        <w:rPr>
          <w:rFonts w:hint="eastAsia" w:ascii="仿宋" w:hAnsi="仿宋" w:eastAsia="仿宋" w:cs="仿宋"/>
          <w:color w:val="auto"/>
          <w:kern w:val="0"/>
          <w:sz w:val="32"/>
          <w:szCs w:val="32"/>
          <w:highlight w:val="none"/>
          <w:u w:val="none"/>
        </w:rPr>
        <w:t>会议</w:t>
      </w:r>
      <w:r>
        <w:rPr>
          <w:rFonts w:hint="eastAsia" w:ascii="仿宋" w:hAnsi="仿宋" w:eastAsia="仿宋" w:cs="仿宋"/>
          <w:color w:val="auto"/>
          <w:kern w:val="0"/>
          <w:sz w:val="32"/>
          <w:szCs w:val="32"/>
          <w:highlight w:val="none"/>
          <w:u w:val="none"/>
          <w:lang w:eastAsia="zh-CN"/>
        </w:rPr>
        <w:t>等</w:t>
      </w:r>
      <w:r>
        <w:rPr>
          <w:rFonts w:hint="eastAsia" w:ascii="仿宋" w:hAnsi="仿宋" w:eastAsia="仿宋" w:cs="仿宋"/>
          <w:color w:val="auto"/>
          <w:kern w:val="0"/>
          <w:sz w:val="32"/>
          <w:szCs w:val="32"/>
          <w:highlight w:val="none"/>
          <w:u w:val="none"/>
        </w:rPr>
        <w:t>，人数</w:t>
      </w:r>
      <w:r>
        <w:rPr>
          <w:rFonts w:hint="eastAsia" w:ascii="仿宋" w:hAnsi="仿宋" w:eastAsia="仿宋" w:cs="仿宋"/>
          <w:color w:val="auto"/>
          <w:kern w:val="0"/>
          <w:sz w:val="32"/>
          <w:szCs w:val="32"/>
          <w:highlight w:val="none"/>
          <w:u w:val="none"/>
          <w:lang w:val="en-US" w:eastAsia="zh-CN"/>
        </w:rPr>
        <w:t>719</w:t>
      </w:r>
      <w:r>
        <w:rPr>
          <w:rFonts w:hint="eastAsia" w:ascii="仿宋" w:hAnsi="仿宋" w:eastAsia="仿宋" w:cs="仿宋"/>
          <w:color w:val="auto"/>
          <w:kern w:val="0"/>
          <w:sz w:val="32"/>
          <w:szCs w:val="32"/>
          <w:highlight w:val="none"/>
          <w:u w:val="none"/>
        </w:rPr>
        <w:t>人，内容为</w:t>
      </w:r>
      <w:r>
        <w:rPr>
          <w:rFonts w:hint="eastAsia" w:ascii="仿宋" w:hAnsi="仿宋" w:eastAsia="仿宋" w:cs="仿宋"/>
          <w:color w:val="auto"/>
          <w:kern w:val="0"/>
          <w:sz w:val="32"/>
          <w:szCs w:val="32"/>
          <w:highlight w:val="none"/>
          <w:u w:val="none"/>
          <w:lang w:val="en-US" w:eastAsia="zh-CN"/>
        </w:rPr>
        <w:t>2020年度全区重大项目计划编制、集中开工、项目进度调度等工作</w:t>
      </w:r>
      <w:r>
        <w:rPr>
          <w:rFonts w:hint="eastAsia" w:ascii="仿宋" w:hAnsi="仿宋" w:eastAsia="仿宋" w:cs="仿宋"/>
          <w:color w:val="auto"/>
          <w:kern w:val="0"/>
          <w:sz w:val="32"/>
          <w:szCs w:val="32"/>
          <w:highlight w:val="none"/>
          <w:u w:val="none"/>
        </w:rPr>
        <w:t>；开支培训费</w:t>
      </w:r>
      <w:r>
        <w:rPr>
          <w:rFonts w:hint="eastAsia" w:ascii="仿宋" w:hAnsi="仿宋" w:eastAsia="仿宋" w:cs="仿宋"/>
          <w:color w:val="auto"/>
          <w:kern w:val="0"/>
          <w:sz w:val="32"/>
          <w:szCs w:val="32"/>
          <w:highlight w:val="none"/>
          <w:u w:val="none"/>
          <w:lang w:val="en-US" w:eastAsia="zh-CN"/>
        </w:rPr>
        <w:t>0.53</w:t>
      </w:r>
      <w:r>
        <w:rPr>
          <w:rFonts w:hint="eastAsia" w:ascii="仿宋" w:hAnsi="仿宋" w:eastAsia="仿宋" w:cs="仿宋"/>
          <w:color w:val="auto"/>
          <w:kern w:val="0"/>
          <w:sz w:val="32"/>
          <w:szCs w:val="32"/>
          <w:highlight w:val="none"/>
          <w:u w:val="none"/>
        </w:rPr>
        <w:t>万元，用于开展</w:t>
      </w:r>
      <w:r>
        <w:rPr>
          <w:rFonts w:hint="eastAsia" w:ascii="仿宋" w:hAnsi="仿宋" w:eastAsia="仿宋" w:cs="仿宋"/>
          <w:color w:val="auto"/>
          <w:kern w:val="0"/>
          <w:sz w:val="32"/>
          <w:szCs w:val="32"/>
          <w:highlight w:val="none"/>
          <w:u w:val="none"/>
          <w:lang w:eastAsia="zh-CN"/>
        </w:rPr>
        <w:t>“十四五”发展规划学习</w:t>
      </w:r>
      <w:r>
        <w:rPr>
          <w:rFonts w:hint="eastAsia" w:ascii="仿宋" w:hAnsi="仿宋" w:eastAsia="仿宋" w:cs="仿宋"/>
          <w:color w:val="auto"/>
          <w:kern w:val="0"/>
          <w:sz w:val="32"/>
          <w:szCs w:val="32"/>
          <w:highlight w:val="none"/>
          <w:u w:val="none"/>
        </w:rPr>
        <w:t>培训，人数</w:t>
      </w:r>
      <w:r>
        <w:rPr>
          <w:rFonts w:hint="eastAsia" w:ascii="仿宋" w:hAnsi="仿宋" w:eastAsia="仿宋" w:cs="仿宋"/>
          <w:color w:val="auto"/>
          <w:kern w:val="0"/>
          <w:sz w:val="32"/>
          <w:szCs w:val="32"/>
          <w:highlight w:val="none"/>
          <w:u w:val="none"/>
          <w:lang w:val="en-US" w:eastAsia="zh-CN"/>
        </w:rPr>
        <w:t>2</w:t>
      </w:r>
      <w:r>
        <w:rPr>
          <w:rFonts w:hint="eastAsia" w:ascii="仿宋" w:hAnsi="仿宋" w:eastAsia="仿宋" w:cs="仿宋"/>
          <w:color w:val="auto"/>
          <w:kern w:val="0"/>
          <w:sz w:val="32"/>
          <w:szCs w:val="32"/>
          <w:highlight w:val="none"/>
          <w:u w:val="none"/>
        </w:rPr>
        <w:t>人，内容为</w:t>
      </w:r>
      <w:r>
        <w:rPr>
          <w:rFonts w:hint="eastAsia" w:ascii="仿宋" w:hAnsi="仿宋" w:eastAsia="仿宋" w:cs="仿宋"/>
          <w:color w:val="auto"/>
          <w:kern w:val="0"/>
          <w:sz w:val="32"/>
          <w:szCs w:val="32"/>
          <w:highlight w:val="none"/>
          <w:u w:val="none"/>
          <w:lang w:eastAsia="zh-CN"/>
        </w:rPr>
        <w:t>加强全市优化营商环境“十四五”发展规划编制、打造自贸区长沙片区国际化营商环境、提升长沙跨境贸易通关便利度学习培训</w:t>
      </w:r>
      <w:r>
        <w:rPr>
          <w:rFonts w:hint="eastAsia" w:ascii="仿宋" w:hAnsi="仿宋" w:eastAsia="仿宋" w:cs="仿宋"/>
          <w:color w:val="auto"/>
          <w:kern w:val="0"/>
          <w:sz w:val="32"/>
          <w:szCs w:val="32"/>
          <w:highlight w:val="none"/>
          <w:u w:val="none"/>
        </w:rPr>
        <w:t>。</w:t>
      </w:r>
      <w:r>
        <w:rPr>
          <w:rFonts w:hint="eastAsia" w:ascii="仿宋" w:hAnsi="仿宋" w:eastAsia="仿宋" w:cs="仿宋"/>
          <w:i w:val="0"/>
          <w:iCs w:val="0"/>
          <w:caps w:val="0"/>
          <w:color w:val="auto"/>
          <w:spacing w:val="0"/>
          <w:sz w:val="32"/>
          <w:szCs w:val="32"/>
          <w:highlight w:val="none"/>
          <w:shd w:val="clear" w:fill="FFFFFF"/>
        </w:rPr>
        <w:t>无节庆、晚会、论坛、赛事活动支出。</w:t>
      </w:r>
    </w:p>
    <w:p>
      <w:pPr>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b/>
          <w:color w:val="auto"/>
          <w:kern w:val="0"/>
          <w:sz w:val="32"/>
          <w:szCs w:val="32"/>
          <w:highlight w:val="none"/>
          <w:u w:val="none"/>
        </w:rPr>
      </w:pPr>
      <w:r>
        <w:rPr>
          <w:rFonts w:hint="eastAsia" w:ascii="仿宋" w:hAnsi="仿宋" w:eastAsia="仿宋" w:cs="仿宋"/>
          <w:b/>
          <w:color w:val="auto"/>
          <w:kern w:val="0"/>
          <w:sz w:val="32"/>
          <w:szCs w:val="32"/>
          <w:highlight w:val="none"/>
          <w:u w:val="none"/>
        </w:rPr>
        <w:t>（三）政府采购支出情况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本部门</w:t>
      </w:r>
      <w:r>
        <w:rPr>
          <w:rFonts w:hint="eastAsia" w:ascii="仿宋" w:hAnsi="仿宋" w:eastAsia="仿宋" w:cs="仿宋"/>
          <w:color w:val="auto"/>
          <w:kern w:val="0"/>
          <w:sz w:val="32"/>
          <w:szCs w:val="32"/>
          <w:highlight w:val="none"/>
          <w:u w:val="none"/>
          <w:lang w:val="en-US" w:eastAsia="zh-CN"/>
        </w:rPr>
        <w:t>2020</w:t>
      </w:r>
      <w:r>
        <w:rPr>
          <w:rFonts w:hint="eastAsia" w:ascii="仿宋" w:hAnsi="仿宋" w:eastAsia="仿宋" w:cs="仿宋"/>
          <w:color w:val="auto"/>
          <w:kern w:val="0"/>
          <w:sz w:val="32"/>
          <w:szCs w:val="32"/>
          <w:highlight w:val="none"/>
          <w:u w:val="none"/>
        </w:rPr>
        <w:t>年度政府采购支出总额</w:t>
      </w:r>
      <w:r>
        <w:rPr>
          <w:rFonts w:hint="eastAsia" w:ascii="仿宋" w:hAnsi="仿宋" w:eastAsia="仿宋" w:cs="仿宋"/>
          <w:color w:val="auto"/>
          <w:sz w:val="32"/>
          <w:szCs w:val="32"/>
          <w:highlight w:val="none"/>
          <w:u w:val="none"/>
          <w:lang w:val="en-US" w:eastAsia="zh-CN"/>
        </w:rPr>
        <w:t>16</w:t>
      </w:r>
      <w:r>
        <w:rPr>
          <w:rFonts w:hint="eastAsia" w:ascii="仿宋" w:hAnsi="仿宋" w:eastAsia="仿宋" w:cs="仿宋"/>
          <w:color w:val="auto"/>
          <w:kern w:val="0"/>
          <w:sz w:val="32"/>
          <w:szCs w:val="32"/>
          <w:highlight w:val="none"/>
          <w:u w:val="none"/>
        </w:rPr>
        <w:t>万元，其中：政府采购货物支出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万元、政府采购工程支出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万元、政府采购服务支出</w:t>
      </w:r>
      <w:r>
        <w:rPr>
          <w:rFonts w:hint="eastAsia" w:ascii="仿宋" w:hAnsi="仿宋" w:eastAsia="仿宋" w:cs="仿宋"/>
          <w:color w:val="auto"/>
          <w:sz w:val="32"/>
          <w:szCs w:val="32"/>
          <w:highlight w:val="none"/>
          <w:u w:val="none"/>
          <w:lang w:val="en-US" w:eastAsia="zh-CN"/>
        </w:rPr>
        <w:t>16</w:t>
      </w:r>
      <w:r>
        <w:rPr>
          <w:rFonts w:hint="eastAsia" w:ascii="仿宋" w:hAnsi="仿宋" w:eastAsia="仿宋" w:cs="仿宋"/>
          <w:color w:val="auto"/>
          <w:kern w:val="0"/>
          <w:sz w:val="32"/>
          <w:szCs w:val="32"/>
          <w:highlight w:val="none"/>
          <w:u w:val="none"/>
        </w:rPr>
        <w:t>万元。授予中小企业合同金额</w:t>
      </w:r>
      <w:r>
        <w:rPr>
          <w:rFonts w:hint="eastAsia" w:ascii="仿宋" w:hAnsi="仿宋" w:eastAsia="仿宋" w:cs="仿宋"/>
          <w:color w:val="auto"/>
          <w:sz w:val="32"/>
          <w:szCs w:val="32"/>
          <w:highlight w:val="none"/>
          <w:u w:val="none"/>
          <w:lang w:val="en-US" w:eastAsia="zh-CN"/>
        </w:rPr>
        <w:t>16</w:t>
      </w:r>
      <w:r>
        <w:rPr>
          <w:rFonts w:hint="eastAsia" w:ascii="仿宋" w:hAnsi="仿宋" w:eastAsia="仿宋" w:cs="仿宋"/>
          <w:color w:val="auto"/>
          <w:kern w:val="0"/>
          <w:sz w:val="32"/>
          <w:szCs w:val="32"/>
          <w:highlight w:val="none"/>
          <w:u w:val="none"/>
        </w:rPr>
        <w:t>万元，占政府采购支出总额的</w:t>
      </w:r>
      <w:r>
        <w:rPr>
          <w:rFonts w:hint="eastAsia" w:ascii="仿宋" w:hAnsi="仿宋" w:eastAsia="仿宋" w:cs="仿宋"/>
          <w:color w:val="auto"/>
          <w:sz w:val="32"/>
          <w:szCs w:val="32"/>
          <w:highlight w:val="none"/>
          <w:u w:val="none"/>
          <w:lang w:val="en-US" w:eastAsia="zh-CN"/>
        </w:rPr>
        <w:t>100</w:t>
      </w:r>
      <w:r>
        <w:rPr>
          <w:rFonts w:hint="eastAsia" w:ascii="仿宋" w:hAnsi="仿宋" w:eastAsia="仿宋" w:cs="仿宋"/>
          <w:color w:val="auto"/>
          <w:kern w:val="0"/>
          <w:sz w:val="32"/>
          <w:szCs w:val="32"/>
          <w:highlight w:val="none"/>
          <w:u w:val="none"/>
        </w:rPr>
        <w:t>%。</w:t>
      </w:r>
      <w:r>
        <w:rPr>
          <w:rFonts w:hint="eastAsia" w:ascii="仿宋" w:hAnsi="仿宋" w:eastAsia="仿宋" w:cs="仿宋"/>
          <w:i w:val="0"/>
          <w:iCs w:val="0"/>
          <w:caps w:val="0"/>
          <w:color w:val="auto"/>
          <w:spacing w:val="0"/>
          <w:sz w:val="32"/>
          <w:szCs w:val="32"/>
          <w:highlight w:val="none"/>
          <w:shd w:val="clear" w:fill="FFFFFF"/>
        </w:rPr>
        <w:t>授予小微企业合同金额0万元，占政府采购支出总额的0%。</w:t>
      </w:r>
    </w:p>
    <w:p>
      <w:pPr>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b/>
          <w:color w:val="auto"/>
          <w:kern w:val="0"/>
          <w:sz w:val="32"/>
          <w:szCs w:val="32"/>
          <w:highlight w:val="none"/>
          <w:u w:val="none"/>
        </w:rPr>
      </w:pPr>
      <w:r>
        <w:rPr>
          <w:rFonts w:hint="eastAsia" w:ascii="仿宋" w:hAnsi="仿宋" w:eastAsia="仿宋" w:cs="仿宋"/>
          <w:b/>
          <w:color w:val="auto"/>
          <w:kern w:val="0"/>
          <w:sz w:val="32"/>
          <w:szCs w:val="32"/>
          <w:highlight w:val="none"/>
          <w:u w:val="none"/>
        </w:rPr>
        <w:t>（四）国有资产占用情况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auto"/>
          <w:kern w:val="0"/>
          <w:sz w:val="32"/>
          <w:szCs w:val="32"/>
          <w:highlight w:val="none"/>
          <w:u w:val="none"/>
        </w:rPr>
      </w:pPr>
    </w:p>
    <w:p>
      <w:pPr>
        <w:keepNext w:val="0"/>
        <w:keepLines w:val="0"/>
        <w:pageBreakBefore w:val="0"/>
        <w:kinsoku/>
        <w:wordWrap/>
        <w:overflowPunct/>
        <w:topLinePunct w:val="0"/>
        <w:bidi w:val="0"/>
        <w:spacing w:line="600" w:lineRule="exact"/>
        <w:ind w:firstLine="640" w:firstLineChars="200"/>
        <w:textAlignment w:val="auto"/>
        <w:rPr>
          <w:rFonts w:hint="eastAsia" w:eastAsia="仿宋_GB2312"/>
          <w:color w:val="auto"/>
          <w:kern w:val="0"/>
          <w:sz w:val="32"/>
          <w:szCs w:val="32"/>
          <w:highlight w:val="none"/>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right="0" w:firstLine="880" w:firstLineChars="200"/>
        <w:jc w:val="center"/>
        <w:textAlignment w:val="auto"/>
        <w:rPr>
          <w:rFonts w:hint="eastAsia" w:ascii="黑体" w:hAnsi="黑体" w:eastAsia="黑体" w:cs="黑体"/>
          <w:i w:val="0"/>
          <w:iCs w:val="0"/>
          <w:caps w:val="0"/>
          <w:color w:val="auto"/>
          <w:spacing w:val="0"/>
          <w:sz w:val="44"/>
          <w:szCs w:val="44"/>
          <w:highlight w:val="none"/>
          <w:shd w:val="clear" w:fill="FFFFFF"/>
        </w:rPr>
      </w:pPr>
      <w:r>
        <w:rPr>
          <w:rFonts w:hint="eastAsia" w:ascii="黑体" w:hAnsi="黑体" w:eastAsia="黑体" w:cs="黑体"/>
          <w:i w:val="0"/>
          <w:iCs w:val="0"/>
          <w:caps w:val="0"/>
          <w:color w:val="auto"/>
          <w:spacing w:val="0"/>
          <w:sz w:val="44"/>
          <w:szCs w:val="44"/>
          <w:highlight w:val="none"/>
          <w:shd w:val="clear" w:fill="FFFFFF"/>
        </w:rPr>
        <w:t>名词解释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Chars="200" w:right="0" w:rightChars="0"/>
        <w:jc w:val="both"/>
        <w:textAlignment w:val="auto"/>
        <w:rPr>
          <w:rFonts w:hint="eastAsia" w:ascii="黑体" w:hAnsi="黑体" w:eastAsia="黑体" w:cs="黑体"/>
          <w:i w:val="0"/>
          <w:iCs w:val="0"/>
          <w:caps w:val="0"/>
          <w:color w:val="auto"/>
          <w:spacing w:val="0"/>
          <w:sz w:val="44"/>
          <w:szCs w:val="44"/>
          <w:highlight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一、基本支出：指为保障机构正常运转、完成日常工作任务而发生的人员支出和公用支出。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二、项目支出：指在基本支出之外为完成特定行政任务和事业发展目标所发生的支出。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highlight w:val="none"/>
          <w:shd w:val="clear" w:fill="FFFFFF"/>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leftChars="0" w:right="0" w:firstLine="880" w:firstLineChars="200"/>
        <w:jc w:val="center"/>
        <w:textAlignment w:val="auto"/>
        <w:rPr>
          <w:rFonts w:hint="eastAsia" w:ascii="黑体" w:hAnsi="黑体" w:eastAsia="黑体" w:cs="黑体"/>
          <w:i w:val="0"/>
          <w:iCs w:val="0"/>
          <w:caps w:val="0"/>
          <w:color w:val="auto"/>
          <w:spacing w:val="0"/>
          <w:sz w:val="44"/>
          <w:szCs w:val="44"/>
          <w:highlight w:val="none"/>
          <w:shd w:val="clear" w:fill="FFFFFF"/>
        </w:rPr>
      </w:pPr>
      <w:r>
        <w:rPr>
          <w:rFonts w:hint="eastAsia" w:ascii="黑体" w:hAnsi="黑体" w:eastAsia="黑体" w:cs="黑体"/>
          <w:i w:val="0"/>
          <w:iCs w:val="0"/>
          <w:caps w:val="0"/>
          <w:color w:val="auto"/>
          <w:spacing w:val="0"/>
          <w:sz w:val="44"/>
          <w:szCs w:val="44"/>
          <w:highlight w:val="none"/>
          <w:shd w:val="clear" w:fill="FFFFFF"/>
        </w:rPr>
        <w:t>附件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Chars="200" w:right="0" w:rightChars="0"/>
        <w:jc w:val="both"/>
        <w:textAlignment w:val="auto"/>
        <w:rPr>
          <w:rFonts w:hint="eastAsia" w:ascii="黑体" w:hAnsi="黑体" w:eastAsia="黑体" w:cs="黑体"/>
          <w:i w:val="0"/>
          <w:iCs w:val="0"/>
          <w:caps w:val="0"/>
          <w:color w:val="auto"/>
          <w:spacing w:val="0"/>
          <w:sz w:val="44"/>
          <w:szCs w:val="44"/>
          <w:highlight w:val="none"/>
          <w:shd w:val="clear" w:fill="FFFFFF"/>
        </w:rPr>
      </w:pPr>
    </w:p>
    <w:p>
      <w:pPr>
        <w:keepNext w:val="0"/>
        <w:keepLines w:val="0"/>
        <w:pageBreakBefore w:val="0"/>
        <w:kinsoku/>
        <w:wordWrap/>
        <w:overflowPunct/>
        <w:topLinePunct w:val="0"/>
        <w:bidi w:val="0"/>
        <w:spacing w:line="600" w:lineRule="exact"/>
        <w:jc w:val="center"/>
        <w:textAlignment w:val="auto"/>
        <w:rPr>
          <w:rFonts w:hint="eastAsia"/>
          <w:color w:val="auto"/>
          <w:highlight w:val="none"/>
        </w:rPr>
      </w:pPr>
      <w:r>
        <w:rPr>
          <w:rFonts w:hint="eastAsia" w:ascii="仿宋" w:hAnsi="仿宋" w:eastAsia="仿宋" w:cs="仿宋"/>
          <w:i w:val="0"/>
          <w:iCs w:val="0"/>
          <w:caps w:val="0"/>
          <w:color w:val="auto"/>
          <w:spacing w:val="0"/>
          <w:sz w:val="32"/>
          <w:szCs w:val="32"/>
          <w:highlight w:val="none"/>
          <w:shd w:val="clear" w:fill="FFFFFF"/>
        </w:rPr>
        <w:t>2020年度部门整体支出绩效评价报告</w:t>
      </w:r>
    </w:p>
    <w:p>
      <w:pPr>
        <w:keepNext w:val="0"/>
        <w:keepLines w:val="0"/>
        <w:pageBreakBefore w:val="0"/>
        <w:widowControl/>
        <w:numPr>
          <w:ilvl w:val="0"/>
          <w:numId w:val="0"/>
        </w:numPr>
        <w:kinsoku/>
        <w:wordWrap/>
        <w:overflowPunct/>
        <w:topLinePunct w:val="0"/>
        <w:bidi w:val="0"/>
        <w:spacing w:line="600" w:lineRule="exact"/>
        <w:jc w:val="both"/>
        <w:textAlignment w:val="auto"/>
        <w:rPr>
          <w:rFonts w:hint="eastAsia" w:eastAsia="方正小标宋_GBK"/>
          <w:bCs/>
          <w:color w:val="auto"/>
          <w:kern w:val="0"/>
          <w:sz w:val="36"/>
          <w:szCs w:val="36"/>
          <w:highlight w:val="none"/>
        </w:rPr>
      </w:pPr>
    </w:p>
    <w:p>
      <w:pPr>
        <w:rPr>
          <w:color w:val="auto"/>
          <w:highlight w:val="none"/>
        </w:rPr>
      </w:pPr>
    </w:p>
    <w:sectPr>
      <w:footerReference r:id="rId3" w:type="default"/>
      <w:pgSz w:w="11906" w:h="16838"/>
      <w:pgMar w:top="1701" w:right="1587" w:bottom="1701" w:left="1587"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2</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FS6hM8BAACrAwAADgAAAGRycy9lMm9Eb2MueG1srVPNjtMwEL4j8Q6W&#10;7zRpEaiKmq5A1SIkBEjLPoDrOI0l22N53CZ9AXgDTly481x9DsZO0oXlsgcuzvz5m/k+TzY3gzXs&#10;pAJqcDVfLkrOlJPQaHeo+f2X2xdrzjAK1wgDTtX8rJDfbJ8/2/S+UivowDQqMAJxWPW+5l2MvioK&#10;lJ2yAhfglaNkC8GKSG44FE0QPaFbU6zK8nXRQ2h8AKkQKbobk3xCDE8BhLbVUu1AHq1ycUQNyohI&#10;lLDTHvk2T9u2SsZPbYsqMlNzYhrzSU3I3qez2G5EdQjCd1pOI4injPCIkxXaUdMr1E5EwY5B/wNl&#10;tQyA0MaFBFuMRLIixGJZPtLmrhNeZS4kNfqr6Pj/YOXH0+fAdEOb8JIzJyy9+OX7t8uPX5efX9my&#10;XL1KEvUeK6q881Qbh7cwUPkcRwom5kMbbPoSJ0Z5Evh8FVgNkcl0ab1ar0tKScrNDuEXD9d9wPhO&#10;gWXJqHmgF8zCitMHjGPpXJK6ObjVxuRXNO6vAGGOEZXXYLqdmIwTJysO+2Git4fmTOx6WoWaO9p8&#10;zsx7R0qnrZmNMBv72Tj6oA9dXqvUHf2bY6SR8qSpwwhLDJNDb5i5TvuWluRPP1c9/GP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EVLqEzwEAAKsDAAAOAAAAAAAAAAEAIAAAAB4BAABkcnMv&#10;ZTJvRG9jLnhtbFBLBQYAAAAABgAGAFkBAABfBQAAAAA=&#10;">
              <v:fill on="f" focussize="0,0"/>
              <v:stroke on="f"/>
              <v:imagedata o:title=""/>
              <o:lock v:ext="edit" aspectratio="f"/>
              <v:textbox inset="0mm,0mm,0mm,0mm" style="mso-fit-shape-to-text:t;">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2</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8ADFDC"/>
    <w:multiLevelType w:val="singleLevel"/>
    <w:tmpl w:val="498ADFDC"/>
    <w:lvl w:ilvl="0" w:tentative="0">
      <w:start w:val="4"/>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MWM0MzM0M2JiYTZjMmQ0ZDIxOWRlNjJlZmVkZTkifQ=="/>
  </w:docVars>
  <w:rsids>
    <w:rsidRoot w:val="006A62A5"/>
    <w:rsid w:val="00000ECF"/>
    <w:rsid w:val="00001A4C"/>
    <w:rsid w:val="00002476"/>
    <w:rsid w:val="00003DE3"/>
    <w:rsid w:val="000058B3"/>
    <w:rsid w:val="000078FB"/>
    <w:rsid w:val="00013274"/>
    <w:rsid w:val="00013459"/>
    <w:rsid w:val="0001404B"/>
    <w:rsid w:val="0001414C"/>
    <w:rsid w:val="00014841"/>
    <w:rsid w:val="00014DFE"/>
    <w:rsid w:val="00017D17"/>
    <w:rsid w:val="00020810"/>
    <w:rsid w:val="00022236"/>
    <w:rsid w:val="00022963"/>
    <w:rsid w:val="00024EC6"/>
    <w:rsid w:val="00025095"/>
    <w:rsid w:val="00025EE5"/>
    <w:rsid w:val="000268E5"/>
    <w:rsid w:val="000278E7"/>
    <w:rsid w:val="00027E98"/>
    <w:rsid w:val="000300A7"/>
    <w:rsid w:val="0003013E"/>
    <w:rsid w:val="00036870"/>
    <w:rsid w:val="0003754A"/>
    <w:rsid w:val="00037C57"/>
    <w:rsid w:val="000428FB"/>
    <w:rsid w:val="00044303"/>
    <w:rsid w:val="00044C54"/>
    <w:rsid w:val="000455E4"/>
    <w:rsid w:val="000466A4"/>
    <w:rsid w:val="00052BED"/>
    <w:rsid w:val="000554B0"/>
    <w:rsid w:val="00056D0F"/>
    <w:rsid w:val="00061CD6"/>
    <w:rsid w:val="00062E21"/>
    <w:rsid w:val="000648F9"/>
    <w:rsid w:val="00072D3D"/>
    <w:rsid w:val="00072DB6"/>
    <w:rsid w:val="0007505C"/>
    <w:rsid w:val="00075A2E"/>
    <w:rsid w:val="00080D64"/>
    <w:rsid w:val="0008234F"/>
    <w:rsid w:val="00083209"/>
    <w:rsid w:val="00090205"/>
    <w:rsid w:val="000911A3"/>
    <w:rsid w:val="00091D39"/>
    <w:rsid w:val="000924F3"/>
    <w:rsid w:val="00095AFA"/>
    <w:rsid w:val="00097F21"/>
    <w:rsid w:val="000A0091"/>
    <w:rsid w:val="000A1186"/>
    <w:rsid w:val="000A1613"/>
    <w:rsid w:val="000A179A"/>
    <w:rsid w:val="000A3142"/>
    <w:rsid w:val="000A5EBE"/>
    <w:rsid w:val="000A62DA"/>
    <w:rsid w:val="000A6FEC"/>
    <w:rsid w:val="000A753F"/>
    <w:rsid w:val="000B0A97"/>
    <w:rsid w:val="000B10E4"/>
    <w:rsid w:val="000B27C8"/>
    <w:rsid w:val="000B2C4E"/>
    <w:rsid w:val="000B2E3D"/>
    <w:rsid w:val="000B3265"/>
    <w:rsid w:val="000B41BD"/>
    <w:rsid w:val="000B5004"/>
    <w:rsid w:val="000B7057"/>
    <w:rsid w:val="000C083D"/>
    <w:rsid w:val="000C225E"/>
    <w:rsid w:val="000C26E3"/>
    <w:rsid w:val="000D0356"/>
    <w:rsid w:val="000D1300"/>
    <w:rsid w:val="000D1B06"/>
    <w:rsid w:val="000D7392"/>
    <w:rsid w:val="000E18D5"/>
    <w:rsid w:val="000E37E4"/>
    <w:rsid w:val="000E3E68"/>
    <w:rsid w:val="000E60B4"/>
    <w:rsid w:val="000E6227"/>
    <w:rsid w:val="000F0A91"/>
    <w:rsid w:val="000F0D2D"/>
    <w:rsid w:val="000F1957"/>
    <w:rsid w:val="000F1EBC"/>
    <w:rsid w:val="000F48CC"/>
    <w:rsid w:val="000F513A"/>
    <w:rsid w:val="000F579F"/>
    <w:rsid w:val="000F6406"/>
    <w:rsid w:val="000F6962"/>
    <w:rsid w:val="000F6DAE"/>
    <w:rsid w:val="000F6FD3"/>
    <w:rsid w:val="00107377"/>
    <w:rsid w:val="00110BBE"/>
    <w:rsid w:val="00110CAF"/>
    <w:rsid w:val="001124A1"/>
    <w:rsid w:val="00113C75"/>
    <w:rsid w:val="00113E4A"/>
    <w:rsid w:val="00115603"/>
    <w:rsid w:val="00120505"/>
    <w:rsid w:val="001206F7"/>
    <w:rsid w:val="00121A04"/>
    <w:rsid w:val="00122DF9"/>
    <w:rsid w:val="0012367A"/>
    <w:rsid w:val="001240F0"/>
    <w:rsid w:val="0012679A"/>
    <w:rsid w:val="001269BD"/>
    <w:rsid w:val="00127A85"/>
    <w:rsid w:val="001305A9"/>
    <w:rsid w:val="00131416"/>
    <w:rsid w:val="0013197A"/>
    <w:rsid w:val="00134D24"/>
    <w:rsid w:val="00136465"/>
    <w:rsid w:val="0013788D"/>
    <w:rsid w:val="00143C56"/>
    <w:rsid w:val="00143CC6"/>
    <w:rsid w:val="00143E06"/>
    <w:rsid w:val="00145B10"/>
    <w:rsid w:val="00146D5A"/>
    <w:rsid w:val="001474B8"/>
    <w:rsid w:val="00147E06"/>
    <w:rsid w:val="00150C4B"/>
    <w:rsid w:val="00151AE9"/>
    <w:rsid w:val="00151D38"/>
    <w:rsid w:val="00151F1E"/>
    <w:rsid w:val="00152BB8"/>
    <w:rsid w:val="00153046"/>
    <w:rsid w:val="00156FB0"/>
    <w:rsid w:val="0016034D"/>
    <w:rsid w:val="00164888"/>
    <w:rsid w:val="00164B4A"/>
    <w:rsid w:val="00167AEC"/>
    <w:rsid w:val="001728EF"/>
    <w:rsid w:val="00172D8D"/>
    <w:rsid w:val="00173E81"/>
    <w:rsid w:val="0017610E"/>
    <w:rsid w:val="0017681D"/>
    <w:rsid w:val="0017757B"/>
    <w:rsid w:val="00177D96"/>
    <w:rsid w:val="00180F92"/>
    <w:rsid w:val="00181CEC"/>
    <w:rsid w:val="00183A33"/>
    <w:rsid w:val="00185950"/>
    <w:rsid w:val="00185A5C"/>
    <w:rsid w:val="00186553"/>
    <w:rsid w:val="00190570"/>
    <w:rsid w:val="0019074D"/>
    <w:rsid w:val="00192A2C"/>
    <w:rsid w:val="00196379"/>
    <w:rsid w:val="00197B00"/>
    <w:rsid w:val="00197C0B"/>
    <w:rsid w:val="001A1191"/>
    <w:rsid w:val="001A12FD"/>
    <w:rsid w:val="001A19E7"/>
    <w:rsid w:val="001A1A1E"/>
    <w:rsid w:val="001A276A"/>
    <w:rsid w:val="001A2B45"/>
    <w:rsid w:val="001B1F92"/>
    <w:rsid w:val="001B3033"/>
    <w:rsid w:val="001B61B0"/>
    <w:rsid w:val="001B7FB0"/>
    <w:rsid w:val="001C07A6"/>
    <w:rsid w:val="001C1CF9"/>
    <w:rsid w:val="001C2122"/>
    <w:rsid w:val="001C2D80"/>
    <w:rsid w:val="001C4D44"/>
    <w:rsid w:val="001C577B"/>
    <w:rsid w:val="001C6025"/>
    <w:rsid w:val="001C695F"/>
    <w:rsid w:val="001C7E15"/>
    <w:rsid w:val="001D2140"/>
    <w:rsid w:val="001D2FE4"/>
    <w:rsid w:val="001D5431"/>
    <w:rsid w:val="001E096D"/>
    <w:rsid w:val="001E2C1F"/>
    <w:rsid w:val="001E6B67"/>
    <w:rsid w:val="001F0A60"/>
    <w:rsid w:val="001F0BB8"/>
    <w:rsid w:val="001F5217"/>
    <w:rsid w:val="001F6417"/>
    <w:rsid w:val="001F678F"/>
    <w:rsid w:val="001F6E27"/>
    <w:rsid w:val="0020064B"/>
    <w:rsid w:val="00200AE6"/>
    <w:rsid w:val="00200B7B"/>
    <w:rsid w:val="00201132"/>
    <w:rsid w:val="00201DFD"/>
    <w:rsid w:val="00204141"/>
    <w:rsid w:val="002042C0"/>
    <w:rsid w:val="002059F1"/>
    <w:rsid w:val="00206D87"/>
    <w:rsid w:val="00210FF2"/>
    <w:rsid w:val="00212F36"/>
    <w:rsid w:val="00212F76"/>
    <w:rsid w:val="002136AC"/>
    <w:rsid w:val="0021381D"/>
    <w:rsid w:val="0022209A"/>
    <w:rsid w:val="002223FF"/>
    <w:rsid w:val="00226509"/>
    <w:rsid w:val="00230DFB"/>
    <w:rsid w:val="00232270"/>
    <w:rsid w:val="002323E2"/>
    <w:rsid w:val="002326F1"/>
    <w:rsid w:val="00232A6F"/>
    <w:rsid w:val="0023435B"/>
    <w:rsid w:val="00236886"/>
    <w:rsid w:val="00237D0F"/>
    <w:rsid w:val="00244916"/>
    <w:rsid w:val="002452F2"/>
    <w:rsid w:val="00247579"/>
    <w:rsid w:val="002508C5"/>
    <w:rsid w:val="00250901"/>
    <w:rsid w:val="0025384C"/>
    <w:rsid w:val="00254370"/>
    <w:rsid w:val="00256109"/>
    <w:rsid w:val="00257318"/>
    <w:rsid w:val="002607AC"/>
    <w:rsid w:val="00260CBD"/>
    <w:rsid w:val="00260DFF"/>
    <w:rsid w:val="002614DE"/>
    <w:rsid w:val="00264117"/>
    <w:rsid w:val="00266829"/>
    <w:rsid w:val="00270C71"/>
    <w:rsid w:val="002731EE"/>
    <w:rsid w:val="002741D1"/>
    <w:rsid w:val="002742F2"/>
    <w:rsid w:val="002746DD"/>
    <w:rsid w:val="00274A49"/>
    <w:rsid w:val="00275BB3"/>
    <w:rsid w:val="002760A1"/>
    <w:rsid w:val="0028028A"/>
    <w:rsid w:val="0028149C"/>
    <w:rsid w:val="0028259B"/>
    <w:rsid w:val="00282BE9"/>
    <w:rsid w:val="00286285"/>
    <w:rsid w:val="00287D1E"/>
    <w:rsid w:val="0029033C"/>
    <w:rsid w:val="0029134A"/>
    <w:rsid w:val="002930D3"/>
    <w:rsid w:val="00293BD7"/>
    <w:rsid w:val="00296FF5"/>
    <w:rsid w:val="002A0212"/>
    <w:rsid w:val="002A238F"/>
    <w:rsid w:val="002A4916"/>
    <w:rsid w:val="002A4942"/>
    <w:rsid w:val="002A69BD"/>
    <w:rsid w:val="002B026C"/>
    <w:rsid w:val="002B0310"/>
    <w:rsid w:val="002B0ACC"/>
    <w:rsid w:val="002B0C95"/>
    <w:rsid w:val="002B0EA1"/>
    <w:rsid w:val="002C16E4"/>
    <w:rsid w:val="002C1F49"/>
    <w:rsid w:val="002C3D41"/>
    <w:rsid w:val="002C5FB1"/>
    <w:rsid w:val="002C6C33"/>
    <w:rsid w:val="002D3295"/>
    <w:rsid w:val="002D4365"/>
    <w:rsid w:val="002D6278"/>
    <w:rsid w:val="002D7D4A"/>
    <w:rsid w:val="002E242B"/>
    <w:rsid w:val="002E312A"/>
    <w:rsid w:val="002E5BA9"/>
    <w:rsid w:val="002E7A62"/>
    <w:rsid w:val="002F0814"/>
    <w:rsid w:val="002F0F57"/>
    <w:rsid w:val="002F1E30"/>
    <w:rsid w:val="002F2595"/>
    <w:rsid w:val="002F573F"/>
    <w:rsid w:val="002F59E2"/>
    <w:rsid w:val="003027B0"/>
    <w:rsid w:val="003037B2"/>
    <w:rsid w:val="00304500"/>
    <w:rsid w:val="003101AA"/>
    <w:rsid w:val="00310315"/>
    <w:rsid w:val="00310DA0"/>
    <w:rsid w:val="003115E2"/>
    <w:rsid w:val="00312ECC"/>
    <w:rsid w:val="003159E6"/>
    <w:rsid w:val="00315F32"/>
    <w:rsid w:val="0031789D"/>
    <w:rsid w:val="0032144D"/>
    <w:rsid w:val="00323416"/>
    <w:rsid w:val="00324208"/>
    <w:rsid w:val="003250F8"/>
    <w:rsid w:val="00325BA9"/>
    <w:rsid w:val="0033044C"/>
    <w:rsid w:val="00330B97"/>
    <w:rsid w:val="0033185A"/>
    <w:rsid w:val="0033244F"/>
    <w:rsid w:val="00332A01"/>
    <w:rsid w:val="0033359F"/>
    <w:rsid w:val="00333E83"/>
    <w:rsid w:val="00335202"/>
    <w:rsid w:val="003400FC"/>
    <w:rsid w:val="00340309"/>
    <w:rsid w:val="00342491"/>
    <w:rsid w:val="00342B7E"/>
    <w:rsid w:val="00343B9A"/>
    <w:rsid w:val="00344E5E"/>
    <w:rsid w:val="00345AD9"/>
    <w:rsid w:val="003473CB"/>
    <w:rsid w:val="003473D3"/>
    <w:rsid w:val="00347704"/>
    <w:rsid w:val="00350628"/>
    <w:rsid w:val="003508F8"/>
    <w:rsid w:val="00351F50"/>
    <w:rsid w:val="003539D6"/>
    <w:rsid w:val="00353C0D"/>
    <w:rsid w:val="003554AA"/>
    <w:rsid w:val="003554FC"/>
    <w:rsid w:val="00361078"/>
    <w:rsid w:val="00361479"/>
    <w:rsid w:val="003656AB"/>
    <w:rsid w:val="00365C9E"/>
    <w:rsid w:val="003708CB"/>
    <w:rsid w:val="003746D5"/>
    <w:rsid w:val="0038074A"/>
    <w:rsid w:val="003812A3"/>
    <w:rsid w:val="003814F1"/>
    <w:rsid w:val="00382082"/>
    <w:rsid w:val="00382ECE"/>
    <w:rsid w:val="0038609A"/>
    <w:rsid w:val="0039027E"/>
    <w:rsid w:val="00390377"/>
    <w:rsid w:val="00390ED4"/>
    <w:rsid w:val="003942A7"/>
    <w:rsid w:val="003943DC"/>
    <w:rsid w:val="00395947"/>
    <w:rsid w:val="00395B97"/>
    <w:rsid w:val="0039758C"/>
    <w:rsid w:val="003A1F15"/>
    <w:rsid w:val="003A2034"/>
    <w:rsid w:val="003A4274"/>
    <w:rsid w:val="003A516B"/>
    <w:rsid w:val="003A567A"/>
    <w:rsid w:val="003B1F31"/>
    <w:rsid w:val="003B2929"/>
    <w:rsid w:val="003B3009"/>
    <w:rsid w:val="003B3984"/>
    <w:rsid w:val="003B7CE7"/>
    <w:rsid w:val="003C20E8"/>
    <w:rsid w:val="003C281D"/>
    <w:rsid w:val="003C6F71"/>
    <w:rsid w:val="003D2276"/>
    <w:rsid w:val="003D5E5A"/>
    <w:rsid w:val="003E1822"/>
    <w:rsid w:val="003E1A9C"/>
    <w:rsid w:val="003E322E"/>
    <w:rsid w:val="003E3FE9"/>
    <w:rsid w:val="003E7798"/>
    <w:rsid w:val="003E7956"/>
    <w:rsid w:val="003F1BD4"/>
    <w:rsid w:val="003F4C8D"/>
    <w:rsid w:val="003F7915"/>
    <w:rsid w:val="003F7979"/>
    <w:rsid w:val="00401E98"/>
    <w:rsid w:val="00405C6D"/>
    <w:rsid w:val="004071C7"/>
    <w:rsid w:val="00410943"/>
    <w:rsid w:val="00415C66"/>
    <w:rsid w:val="00415D7D"/>
    <w:rsid w:val="0041692F"/>
    <w:rsid w:val="00417963"/>
    <w:rsid w:val="00417E8D"/>
    <w:rsid w:val="004244F3"/>
    <w:rsid w:val="004246F7"/>
    <w:rsid w:val="00431B52"/>
    <w:rsid w:val="00431B6C"/>
    <w:rsid w:val="004327A1"/>
    <w:rsid w:val="0043518E"/>
    <w:rsid w:val="00435735"/>
    <w:rsid w:val="004358C7"/>
    <w:rsid w:val="004368E1"/>
    <w:rsid w:val="00436DC4"/>
    <w:rsid w:val="00440199"/>
    <w:rsid w:val="004402C1"/>
    <w:rsid w:val="004404AB"/>
    <w:rsid w:val="00443596"/>
    <w:rsid w:val="00445511"/>
    <w:rsid w:val="0044740D"/>
    <w:rsid w:val="004507B3"/>
    <w:rsid w:val="00452E98"/>
    <w:rsid w:val="0045792A"/>
    <w:rsid w:val="00461CA1"/>
    <w:rsid w:val="004655DE"/>
    <w:rsid w:val="00470065"/>
    <w:rsid w:val="004709E3"/>
    <w:rsid w:val="00471F5B"/>
    <w:rsid w:val="00473988"/>
    <w:rsid w:val="0047599B"/>
    <w:rsid w:val="0047607F"/>
    <w:rsid w:val="004764AD"/>
    <w:rsid w:val="00476F3D"/>
    <w:rsid w:val="00482445"/>
    <w:rsid w:val="00484339"/>
    <w:rsid w:val="00485098"/>
    <w:rsid w:val="0048530C"/>
    <w:rsid w:val="00486FB6"/>
    <w:rsid w:val="00492CD3"/>
    <w:rsid w:val="00493AC3"/>
    <w:rsid w:val="00494FF0"/>
    <w:rsid w:val="004A3101"/>
    <w:rsid w:val="004A3263"/>
    <w:rsid w:val="004A381D"/>
    <w:rsid w:val="004A5797"/>
    <w:rsid w:val="004A5AE3"/>
    <w:rsid w:val="004B06CC"/>
    <w:rsid w:val="004B077B"/>
    <w:rsid w:val="004B1DC3"/>
    <w:rsid w:val="004B2FDD"/>
    <w:rsid w:val="004B695D"/>
    <w:rsid w:val="004C1BB4"/>
    <w:rsid w:val="004C1C51"/>
    <w:rsid w:val="004C22EB"/>
    <w:rsid w:val="004C275A"/>
    <w:rsid w:val="004C3987"/>
    <w:rsid w:val="004C4DFC"/>
    <w:rsid w:val="004C571E"/>
    <w:rsid w:val="004C585B"/>
    <w:rsid w:val="004C720A"/>
    <w:rsid w:val="004C77F4"/>
    <w:rsid w:val="004D20F2"/>
    <w:rsid w:val="004D26B8"/>
    <w:rsid w:val="004D36F1"/>
    <w:rsid w:val="004D5136"/>
    <w:rsid w:val="004D5E81"/>
    <w:rsid w:val="004D66E3"/>
    <w:rsid w:val="004E0F9F"/>
    <w:rsid w:val="004E1F23"/>
    <w:rsid w:val="004E3306"/>
    <w:rsid w:val="004F0A85"/>
    <w:rsid w:val="004F2E17"/>
    <w:rsid w:val="004F3A49"/>
    <w:rsid w:val="004F3E6B"/>
    <w:rsid w:val="004F47E4"/>
    <w:rsid w:val="004F5FBC"/>
    <w:rsid w:val="004F74CA"/>
    <w:rsid w:val="00500211"/>
    <w:rsid w:val="00500303"/>
    <w:rsid w:val="00501605"/>
    <w:rsid w:val="00502240"/>
    <w:rsid w:val="00502D0D"/>
    <w:rsid w:val="005032B1"/>
    <w:rsid w:val="0050421A"/>
    <w:rsid w:val="005048B8"/>
    <w:rsid w:val="005064A8"/>
    <w:rsid w:val="00510541"/>
    <w:rsid w:val="00510B7E"/>
    <w:rsid w:val="00512053"/>
    <w:rsid w:val="00513B9D"/>
    <w:rsid w:val="00517168"/>
    <w:rsid w:val="005173F2"/>
    <w:rsid w:val="005176A6"/>
    <w:rsid w:val="00520EE7"/>
    <w:rsid w:val="00523D19"/>
    <w:rsid w:val="00523FE6"/>
    <w:rsid w:val="0052440C"/>
    <w:rsid w:val="00524AC6"/>
    <w:rsid w:val="00530AFC"/>
    <w:rsid w:val="00531D3F"/>
    <w:rsid w:val="00532E99"/>
    <w:rsid w:val="0053337C"/>
    <w:rsid w:val="00533E87"/>
    <w:rsid w:val="00535C0F"/>
    <w:rsid w:val="0053692A"/>
    <w:rsid w:val="00540C24"/>
    <w:rsid w:val="0054270E"/>
    <w:rsid w:val="00542F51"/>
    <w:rsid w:val="005441A7"/>
    <w:rsid w:val="00545F69"/>
    <w:rsid w:val="00550D1F"/>
    <w:rsid w:val="00550EA0"/>
    <w:rsid w:val="00553A4F"/>
    <w:rsid w:val="005548C3"/>
    <w:rsid w:val="00554CC1"/>
    <w:rsid w:val="00564239"/>
    <w:rsid w:val="00564F76"/>
    <w:rsid w:val="0056546E"/>
    <w:rsid w:val="005669A2"/>
    <w:rsid w:val="0056748B"/>
    <w:rsid w:val="00567EF4"/>
    <w:rsid w:val="00570176"/>
    <w:rsid w:val="00570C84"/>
    <w:rsid w:val="00570DE8"/>
    <w:rsid w:val="00573C49"/>
    <w:rsid w:val="0057412D"/>
    <w:rsid w:val="005741FF"/>
    <w:rsid w:val="005751E9"/>
    <w:rsid w:val="00575310"/>
    <w:rsid w:val="0057560A"/>
    <w:rsid w:val="00576754"/>
    <w:rsid w:val="00576D8A"/>
    <w:rsid w:val="00581D23"/>
    <w:rsid w:val="00582161"/>
    <w:rsid w:val="00584C95"/>
    <w:rsid w:val="00584F5E"/>
    <w:rsid w:val="005870F4"/>
    <w:rsid w:val="0059056E"/>
    <w:rsid w:val="00590A14"/>
    <w:rsid w:val="005911BC"/>
    <w:rsid w:val="00592F66"/>
    <w:rsid w:val="00593F74"/>
    <w:rsid w:val="00594B65"/>
    <w:rsid w:val="00594DD4"/>
    <w:rsid w:val="00596974"/>
    <w:rsid w:val="00596C1D"/>
    <w:rsid w:val="005A155D"/>
    <w:rsid w:val="005A2AAD"/>
    <w:rsid w:val="005A4850"/>
    <w:rsid w:val="005A54AF"/>
    <w:rsid w:val="005A5AE0"/>
    <w:rsid w:val="005A6EFE"/>
    <w:rsid w:val="005A7865"/>
    <w:rsid w:val="005B044D"/>
    <w:rsid w:val="005B0F99"/>
    <w:rsid w:val="005B2011"/>
    <w:rsid w:val="005B7EED"/>
    <w:rsid w:val="005C01F6"/>
    <w:rsid w:val="005C0FD1"/>
    <w:rsid w:val="005C1B7A"/>
    <w:rsid w:val="005C20F5"/>
    <w:rsid w:val="005C2759"/>
    <w:rsid w:val="005C4141"/>
    <w:rsid w:val="005C4D39"/>
    <w:rsid w:val="005C5EB6"/>
    <w:rsid w:val="005C6231"/>
    <w:rsid w:val="005C6BD7"/>
    <w:rsid w:val="005C76CD"/>
    <w:rsid w:val="005C7875"/>
    <w:rsid w:val="005D4427"/>
    <w:rsid w:val="005D46B6"/>
    <w:rsid w:val="005D67CC"/>
    <w:rsid w:val="005E1F8F"/>
    <w:rsid w:val="005E60F4"/>
    <w:rsid w:val="005F14D6"/>
    <w:rsid w:val="005F2513"/>
    <w:rsid w:val="00601190"/>
    <w:rsid w:val="00605A1D"/>
    <w:rsid w:val="00607933"/>
    <w:rsid w:val="00610283"/>
    <w:rsid w:val="006115D6"/>
    <w:rsid w:val="0061212E"/>
    <w:rsid w:val="00612634"/>
    <w:rsid w:val="00613EBD"/>
    <w:rsid w:val="00623865"/>
    <w:rsid w:val="00623D48"/>
    <w:rsid w:val="00623F1A"/>
    <w:rsid w:val="00624509"/>
    <w:rsid w:val="006247C4"/>
    <w:rsid w:val="00624ECB"/>
    <w:rsid w:val="006253D0"/>
    <w:rsid w:val="00625BE6"/>
    <w:rsid w:val="006308CC"/>
    <w:rsid w:val="006315EA"/>
    <w:rsid w:val="00631E74"/>
    <w:rsid w:val="00632A9C"/>
    <w:rsid w:val="00634460"/>
    <w:rsid w:val="006346B2"/>
    <w:rsid w:val="00637B77"/>
    <w:rsid w:val="006403CB"/>
    <w:rsid w:val="0064084A"/>
    <w:rsid w:val="00642ED9"/>
    <w:rsid w:val="00643C05"/>
    <w:rsid w:val="00644A3C"/>
    <w:rsid w:val="00645AAB"/>
    <w:rsid w:val="006507B4"/>
    <w:rsid w:val="00650B92"/>
    <w:rsid w:val="00651D7C"/>
    <w:rsid w:val="006547D1"/>
    <w:rsid w:val="006563C0"/>
    <w:rsid w:val="00657A01"/>
    <w:rsid w:val="00657A79"/>
    <w:rsid w:val="00657CAE"/>
    <w:rsid w:val="00660644"/>
    <w:rsid w:val="006609AE"/>
    <w:rsid w:val="00661704"/>
    <w:rsid w:val="006617DC"/>
    <w:rsid w:val="00663B1E"/>
    <w:rsid w:val="00664429"/>
    <w:rsid w:val="00666249"/>
    <w:rsid w:val="006668DA"/>
    <w:rsid w:val="0067617C"/>
    <w:rsid w:val="00676AD5"/>
    <w:rsid w:val="006770DF"/>
    <w:rsid w:val="00677C30"/>
    <w:rsid w:val="00684431"/>
    <w:rsid w:val="00685002"/>
    <w:rsid w:val="00690034"/>
    <w:rsid w:val="006915BB"/>
    <w:rsid w:val="00692527"/>
    <w:rsid w:val="00692FF8"/>
    <w:rsid w:val="00693114"/>
    <w:rsid w:val="00694F24"/>
    <w:rsid w:val="0069567E"/>
    <w:rsid w:val="00695A72"/>
    <w:rsid w:val="006963E3"/>
    <w:rsid w:val="0069662B"/>
    <w:rsid w:val="006A13BB"/>
    <w:rsid w:val="006A319D"/>
    <w:rsid w:val="006A39DF"/>
    <w:rsid w:val="006A3F13"/>
    <w:rsid w:val="006A4310"/>
    <w:rsid w:val="006A4B6B"/>
    <w:rsid w:val="006A4D3C"/>
    <w:rsid w:val="006A62A5"/>
    <w:rsid w:val="006B113E"/>
    <w:rsid w:val="006B235A"/>
    <w:rsid w:val="006B2618"/>
    <w:rsid w:val="006B3E40"/>
    <w:rsid w:val="006B4CBA"/>
    <w:rsid w:val="006B50E0"/>
    <w:rsid w:val="006B71E8"/>
    <w:rsid w:val="006C012E"/>
    <w:rsid w:val="006C0252"/>
    <w:rsid w:val="006C125A"/>
    <w:rsid w:val="006C4241"/>
    <w:rsid w:val="006C6031"/>
    <w:rsid w:val="006C7C04"/>
    <w:rsid w:val="006D14CC"/>
    <w:rsid w:val="006D1BD3"/>
    <w:rsid w:val="006D297B"/>
    <w:rsid w:val="006D327E"/>
    <w:rsid w:val="006D42A5"/>
    <w:rsid w:val="006D57DD"/>
    <w:rsid w:val="006D6488"/>
    <w:rsid w:val="006D7525"/>
    <w:rsid w:val="006E00F5"/>
    <w:rsid w:val="006E1D0B"/>
    <w:rsid w:val="006E28FF"/>
    <w:rsid w:val="006E32AE"/>
    <w:rsid w:val="006E3BC4"/>
    <w:rsid w:val="006E58E7"/>
    <w:rsid w:val="006E5AE6"/>
    <w:rsid w:val="006E69F3"/>
    <w:rsid w:val="006E6A44"/>
    <w:rsid w:val="006E6B2E"/>
    <w:rsid w:val="006E6CD8"/>
    <w:rsid w:val="006F3889"/>
    <w:rsid w:val="006F3EAE"/>
    <w:rsid w:val="006F41BB"/>
    <w:rsid w:val="006F45AE"/>
    <w:rsid w:val="006F56B7"/>
    <w:rsid w:val="006F5EE9"/>
    <w:rsid w:val="007008C3"/>
    <w:rsid w:val="007008F3"/>
    <w:rsid w:val="0070187F"/>
    <w:rsid w:val="00701F97"/>
    <w:rsid w:val="00704115"/>
    <w:rsid w:val="0070512E"/>
    <w:rsid w:val="00711660"/>
    <w:rsid w:val="007124DF"/>
    <w:rsid w:val="007128E7"/>
    <w:rsid w:val="00714965"/>
    <w:rsid w:val="00714F0F"/>
    <w:rsid w:val="00716272"/>
    <w:rsid w:val="00720512"/>
    <w:rsid w:val="00720612"/>
    <w:rsid w:val="00720AC8"/>
    <w:rsid w:val="00721F65"/>
    <w:rsid w:val="00723A5E"/>
    <w:rsid w:val="007251FF"/>
    <w:rsid w:val="00727B8D"/>
    <w:rsid w:val="007344CC"/>
    <w:rsid w:val="00736393"/>
    <w:rsid w:val="00736A26"/>
    <w:rsid w:val="00737796"/>
    <w:rsid w:val="007379E8"/>
    <w:rsid w:val="00740DB1"/>
    <w:rsid w:val="00741457"/>
    <w:rsid w:val="00741D6E"/>
    <w:rsid w:val="00742315"/>
    <w:rsid w:val="00747B93"/>
    <w:rsid w:val="00752289"/>
    <w:rsid w:val="007543F8"/>
    <w:rsid w:val="00754CD0"/>
    <w:rsid w:val="007557EF"/>
    <w:rsid w:val="0075680F"/>
    <w:rsid w:val="007575E3"/>
    <w:rsid w:val="0076043F"/>
    <w:rsid w:val="00761169"/>
    <w:rsid w:val="00761B93"/>
    <w:rsid w:val="00762BBD"/>
    <w:rsid w:val="0076302F"/>
    <w:rsid w:val="007652DF"/>
    <w:rsid w:val="00765F65"/>
    <w:rsid w:val="00767103"/>
    <w:rsid w:val="00767532"/>
    <w:rsid w:val="007702A5"/>
    <w:rsid w:val="00772074"/>
    <w:rsid w:val="00775090"/>
    <w:rsid w:val="007759C2"/>
    <w:rsid w:val="00776D41"/>
    <w:rsid w:val="00777B8E"/>
    <w:rsid w:val="00780DE3"/>
    <w:rsid w:val="00781AAD"/>
    <w:rsid w:val="007822E3"/>
    <w:rsid w:val="00782723"/>
    <w:rsid w:val="0078341B"/>
    <w:rsid w:val="00786AC2"/>
    <w:rsid w:val="007872ED"/>
    <w:rsid w:val="00792907"/>
    <w:rsid w:val="007935F3"/>
    <w:rsid w:val="00793E9B"/>
    <w:rsid w:val="007940D0"/>
    <w:rsid w:val="00794546"/>
    <w:rsid w:val="0079489D"/>
    <w:rsid w:val="00795025"/>
    <w:rsid w:val="00795D59"/>
    <w:rsid w:val="007964E3"/>
    <w:rsid w:val="0079746E"/>
    <w:rsid w:val="00797BC4"/>
    <w:rsid w:val="007A2395"/>
    <w:rsid w:val="007A23EF"/>
    <w:rsid w:val="007A397F"/>
    <w:rsid w:val="007A437E"/>
    <w:rsid w:val="007A5CDD"/>
    <w:rsid w:val="007A6F62"/>
    <w:rsid w:val="007A7114"/>
    <w:rsid w:val="007B0A96"/>
    <w:rsid w:val="007B1B74"/>
    <w:rsid w:val="007B3029"/>
    <w:rsid w:val="007B35D2"/>
    <w:rsid w:val="007B43E7"/>
    <w:rsid w:val="007B5A05"/>
    <w:rsid w:val="007B61DD"/>
    <w:rsid w:val="007B72B9"/>
    <w:rsid w:val="007C1355"/>
    <w:rsid w:val="007C5D89"/>
    <w:rsid w:val="007D0454"/>
    <w:rsid w:val="007D0664"/>
    <w:rsid w:val="007D43ED"/>
    <w:rsid w:val="007D5BBE"/>
    <w:rsid w:val="007E07E2"/>
    <w:rsid w:val="007E1F65"/>
    <w:rsid w:val="007E2371"/>
    <w:rsid w:val="007E31FE"/>
    <w:rsid w:val="007E52A3"/>
    <w:rsid w:val="007E66E7"/>
    <w:rsid w:val="007E719C"/>
    <w:rsid w:val="007E75EC"/>
    <w:rsid w:val="007E7E89"/>
    <w:rsid w:val="007F22CB"/>
    <w:rsid w:val="007F2B8E"/>
    <w:rsid w:val="007F3562"/>
    <w:rsid w:val="007F412F"/>
    <w:rsid w:val="007F49E8"/>
    <w:rsid w:val="007F6EEC"/>
    <w:rsid w:val="007F7C82"/>
    <w:rsid w:val="008031B6"/>
    <w:rsid w:val="00803A9C"/>
    <w:rsid w:val="008043A4"/>
    <w:rsid w:val="0080593E"/>
    <w:rsid w:val="0080654D"/>
    <w:rsid w:val="008065C0"/>
    <w:rsid w:val="008067F0"/>
    <w:rsid w:val="00806D11"/>
    <w:rsid w:val="008101C6"/>
    <w:rsid w:val="00812CF1"/>
    <w:rsid w:val="00813835"/>
    <w:rsid w:val="00815582"/>
    <w:rsid w:val="00815885"/>
    <w:rsid w:val="00817A5C"/>
    <w:rsid w:val="00820331"/>
    <w:rsid w:val="00823315"/>
    <w:rsid w:val="0082603B"/>
    <w:rsid w:val="008312F0"/>
    <w:rsid w:val="00831C8D"/>
    <w:rsid w:val="00831F29"/>
    <w:rsid w:val="00832213"/>
    <w:rsid w:val="0083245E"/>
    <w:rsid w:val="008340B6"/>
    <w:rsid w:val="00845BC3"/>
    <w:rsid w:val="008462A6"/>
    <w:rsid w:val="00847DD4"/>
    <w:rsid w:val="00850F46"/>
    <w:rsid w:val="0085206E"/>
    <w:rsid w:val="008522C2"/>
    <w:rsid w:val="00852725"/>
    <w:rsid w:val="008530B6"/>
    <w:rsid w:val="00856C27"/>
    <w:rsid w:val="008614E4"/>
    <w:rsid w:val="00861B69"/>
    <w:rsid w:val="0086419C"/>
    <w:rsid w:val="008678A5"/>
    <w:rsid w:val="0087219D"/>
    <w:rsid w:val="0087275E"/>
    <w:rsid w:val="008743B5"/>
    <w:rsid w:val="00881B69"/>
    <w:rsid w:val="00881CFD"/>
    <w:rsid w:val="008837AE"/>
    <w:rsid w:val="00883AF8"/>
    <w:rsid w:val="00886913"/>
    <w:rsid w:val="00890DCA"/>
    <w:rsid w:val="008957B4"/>
    <w:rsid w:val="00895A40"/>
    <w:rsid w:val="008A1A39"/>
    <w:rsid w:val="008A2D7B"/>
    <w:rsid w:val="008A394C"/>
    <w:rsid w:val="008A4BAC"/>
    <w:rsid w:val="008A5FFF"/>
    <w:rsid w:val="008B45AB"/>
    <w:rsid w:val="008B5956"/>
    <w:rsid w:val="008B6223"/>
    <w:rsid w:val="008B65D2"/>
    <w:rsid w:val="008B692E"/>
    <w:rsid w:val="008B795F"/>
    <w:rsid w:val="008C1006"/>
    <w:rsid w:val="008C14BE"/>
    <w:rsid w:val="008C1CA0"/>
    <w:rsid w:val="008D22C9"/>
    <w:rsid w:val="008D5EB9"/>
    <w:rsid w:val="008E0ADA"/>
    <w:rsid w:val="008E53B7"/>
    <w:rsid w:val="008E5E49"/>
    <w:rsid w:val="008E6559"/>
    <w:rsid w:val="008E7C73"/>
    <w:rsid w:val="008F13EC"/>
    <w:rsid w:val="008F65CF"/>
    <w:rsid w:val="009016C4"/>
    <w:rsid w:val="009037AA"/>
    <w:rsid w:val="009038D2"/>
    <w:rsid w:val="0090737D"/>
    <w:rsid w:val="0090764A"/>
    <w:rsid w:val="00907F46"/>
    <w:rsid w:val="009100AC"/>
    <w:rsid w:val="00914975"/>
    <w:rsid w:val="0091546A"/>
    <w:rsid w:val="009206EA"/>
    <w:rsid w:val="00927E50"/>
    <w:rsid w:val="00930AF4"/>
    <w:rsid w:val="00932069"/>
    <w:rsid w:val="009339AD"/>
    <w:rsid w:val="009357DF"/>
    <w:rsid w:val="00935A06"/>
    <w:rsid w:val="00941FF2"/>
    <w:rsid w:val="00944DF3"/>
    <w:rsid w:val="00946303"/>
    <w:rsid w:val="009463BA"/>
    <w:rsid w:val="009472FB"/>
    <w:rsid w:val="00947C4B"/>
    <w:rsid w:val="0095194C"/>
    <w:rsid w:val="00954247"/>
    <w:rsid w:val="0095490E"/>
    <w:rsid w:val="00956CB9"/>
    <w:rsid w:val="00960243"/>
    <w:rsid w:val="00960485"/>
    <w:rsid w:val="0096093E"/>
    <w:rsid w:val="00960F03"/>
    <w:rsid w:val="00960F56"/>
    <w:rsid w:val="009623C1"/>
    <w:rsid w:val="00966150"/>
    <w:rsid w:val="009663D6"/>
    <w:rsid w:val="00970016"/>
    <w:rsid w:val="00970E54"/>
    <w:rsid w:val="00972D06"/>
    <w:rsid w:val="00981C0E"/>
    <w:rsid w:val="00981F97"/>
    <w:rsid w:val="00981FCF"/>
    <w:rsid w:val="0098300E"/>
    <w:rsid w:val="0098378A"/>
    <w:rsid w:val="00983D0C"/>
    <w:rsid w:val="0098427F"/>
    <w:rsid w:val="00984F8F"/>
    <w:rsid w:val="00985068"/>
    <w:rsid w:val="009921BA"/>
    <w:rsid w:val="00992596"/>
    <w:rsid w:val="0099294C"/>
    <w:rsid w:val="009932F8"/>
    <w:rsid w:val="009976F0"/>
    <w:rsid w:val="009A0079"/>
    <w:rsid w:val="009A051E"/>
    <w:rsid w:val="009A1404"/>
    <w:rsid w:val="009A23C3"/>
    <w:rsid w:val="009A2B68"/>
    <w:rsid w:val="009A6EA0"/>
    <w:rsid w:val="009B0C55"/>
    <w:rsid w:val="009B1E80"/>
    <w:rsid w:val="009B30AB"/>
    <w:rsid w:val="009B426E"/>
    <w:rsid w:val="009B4582"/>
    <w:rsid w:val="009B486A"/>
    <w:rsid w:val="009B5391"/>
    <w:rsid w:val="009B6205"/>
    <w:rsid w:val="009B6C36"/>
    <w:rsid w:val="009B7AD3"/>
    <w:rsid w:val="009C1614"/>
    <w:rsid w:val="009C306D"/>
    <w:rsid w:val="009C46B6"/>
    <w:rsid w:val="009D0285"/>
    <w:rsid w:val="009D1E43"/>
    <w:rsid w:val="009D2812"/>
    <w:rsid w:val="009D3535"/>
    <w:rsid w:val="009D35CE"/>
    <w:rsid w:val="009D3C22"/>
    <w:rsid w:val="009E2CE3"/>
    <w:rsid w:val="009E4091"/>
    <w:rsid w:val="009E5751"/>
    <w:rsid w:val="009E5E70"/>
    <w:rsid w:val="009E60F4"/>
    <w:rsid w:val="009E7082"/>
    <w:rsid w:val="009E78C3"/>
    <w:rsid w:val="009F0049"/>
    <w:rsid w:val="009F03E2"/>
    <w:rsid w:val="009F0478"/>
    <w:rsid w:val="009F21DA"/>
    <w:rsid w:val="009F37D3"/>
    <w:rsid w:val="009F7839"/>
    <w:rsid w:val="00A003C1"/>
    <w:rsid w:val="00A00461"/>
    <w:rsid w:val="00A00A49"/>
    <w:rsid w:val="00A01755"/>
    <w:rsid w:val="00A0219B"/>
    <w:rsid w:val="00A03226"/>
    <w:rsid w:val="00A038E3"/>
    <w:rsid w:val="00A03D62"/>
    <w:rsid w:val="00A05328"/>
    <w:rsid w:val="00A05DA9"/>
    <w:rsid w:val="00A0740A"/>
    <w:rsid w:val="00A07C23"/>
    <w:rsid w:val="00A11D26"/>
    <w:rsid w:val="00A12482"/>
    <w:rsid w:val="00A12715"/>
    <w:rsid w:val="00A13C04"/>
    <w:rsid w:val="00A15836"/>
    <w:rsid w:val="00A203D0"/>
    <w:rsid w:val="00A224DF"/>
    <w:rsid w:val="00A226B9"/>
    <w:rsid w:val="00A245B4"/>
    <w:rsid w:val="00A25AF6"/>
    <w:rsid w:val="00A2609C"/>
    <w:rsid w:val="00A26674"/>
    <w:rsid w:val="00A27731"/>
    <w:rsid w:val="00A30E41"/>
    <w:rsid w:val="00A326C3"/>
    <w:rsid w:val="00A35327"/>
    <w:rsid w:val="00A363F5"/>
    <w:rsid w:val="00A40685"/>
    <w:rsid w:val="00A40921"/>
    <w:rsid w:val="00A409A0"/>
    <w:rsid w:val="00A41F83"/>
    <w:rsid w:val="00A43B91"/>
    <w:rsid w:val="00A457C1"/>
    <w:rsid w:val="00A46B8F"/>
    <w:rsid w:val="00A4703B"/>
    <w:rsid w:val="00A5186A"/>
    <w:rsid w:val="00A54606"/>
    <w:rsid w:val="00A54909"/>
    <w:rsid w:val="00A60005"/>
    <w:rsid w:val="00A60B54"/>
    <w:rsid w:val="00A60B8E"/>
    <w:rsid w:val="00A61B97"/>
    <w:rsid w:val="00A64B7C"/>
    <w:rsid w:val="00A700E4"/>
    <w:rsid w:val="00A712AB"/>
    <w:rsid w:val="00A71A2C"/>
    <w:rsid w:val="00A75D8F"/>
    <w:rsid w:val="00A7691E"/>
    <w:rsid w:val="00A77656"/>
    <w:rsid w:val="00A77B69"/>
    <w:rsid w:val="00A80BFF"/>
    <w:rsid w:val="00A811A6"/>
    <w:rsid w:val="00A84515"/>
    <w:rsid w:val="00A84B24"/>
    <w:rsid w:val="00A951FE"/>
    <w:rsid w:val="00A9611A"/>
    <w:rsid w:val="00AA0A48"/>
    <w:rsid w:val="00AA17D7"/>
    <w:rsid w:val="00AA3130"/>
    <w:rsid w:val="00AA3C37"/>
    <w:rsid w:val="00AA5FBD"/>
    <w:rsid w:val="00AA5FCA"/>
    <w:rsid w:val="00AA6562"/>
    <w:rsid w:val="00AA794D"/>
    <w:rsid w:val="00AB3A25"/>
    <w:rsid w:val="00AB3FC4"/>
    <w:rsid w:val="00AB462A"/>
    <w:rsid w:val="00AB4CB5"/>
    <w:rsid w:val="00AB67FB"/>
    <w:rsid w:val="00AB7375"/>
    <w:rsid w:val="00AC066D"/>
    <w:rsid w:val="00AC11FB"/>
    <w:rsid w:val="00AC3110"/>
    <w:rsid w:val="00AC357B"/>
    <w:rsid w:val="00AC3D2E"/>
    <w:rsid w:val="00AC4B8A"/>
    <w:rsid w:val="00AC6F89"/>
    <w:rsid w:val="00AD1F78"/>
    <w:rsid w:val="00AD1F88"/>
    <w:rsid w:val="00AD2530"/>
    <w:rsid w:val="00AD29A4"/>
    <w:rsid w:val="00AD54AD"/>
    <w:rsid w:val="00AE1262"/>
    <w:rsid w:val="00AE19CF"/>
    <w:rsid w:val="00AE36AB"/>
    <w:rsid w:val="00AE3B2C"/>
    <w:rsid w:val="00AE411B"/>
    <w:rsid w:val="00AE4786"/>
    <w:rsid w:val="00AE53D8"/>
    <w:rsid w:val="00AF196A"/>
    <w:rsid w:val="00AF2B6D"/>
    <w:rsid w:val="00AF5365"/>
    <w:rsid w:val="00AF78CD"/>
    <w:rsid w:val="00B0232B"/>
    <w:rsid w:val="00B042FC"/>
    <w:rsid w:val="00B0502A"/>
    <w:rsid w:val="00B057D4"/>
    <w:rsid w:val="00B057ED"/>
    <w:rsid w:val="00B05F7C"/>
    <w:rsid w:val="00B073E1"/>
    <w:rsid w:val="00B0743D"/>
    <w:rsid w:val="00B10755"/>
    <w:rsid w:val="00B10FDB"/>
    <w:rsid w:val="00B119D5"/>
    <w:rsid w:val="00B12468"/>
    <w:rsid w:val="00B15E0D"/>
    <w:rsid w:val="00B16427"/>
    <w:rsid w:val="00B16D42"/>
    <w:rsid w:val="00B210A5"/>
    <w:rsid w:val="00B2236A"/>
    <w:rsid w:val="00B2420D"/>
    <w:rsid w:val="00B268A2"/>
    <w:rsid w:val="00B272AE"/>
    <w:rsid w:val="00B310F5"/>
    <w:rsid w:val="00B31D43"/>
    <w:rsid w:val="00B33251"/>
    <w:rsid w:val="00B3330E"/>
    <w:rsid w:val="00B34AA3"/>
    <w:rsid w:val="00B3661B"/>
    <w:rsid w:val="00B3759F"/>
    <w:rsid w:val="00B37CC3"/>
    <w:rsid w:val="00B40EF3"/>
    <w:rsid w:val="00B415EB"/>
    <w:rsid w:val="00B433B9"/>
    <w:rsid w:val="00B43509"/>
    <w:rsid w:val="00B4420B"/>
    <w:rsid w:val="00B44D15"/>
    <w:rsid w:val="00B44D3D"/>
    <w:rsid w:val="00B4649D"/>
    <w:rsid w:val="00B47349"/>
    <w:rsid w:val="00B51999"/>
    <w:rsid w:val="00B521E0"/>
    <w:rsid w:val="00B52483"/>
    <w:rsid w:val="00B636CA"/>
    <w:rsid w:val="00B64D10"/>
    <w:rsid w:val="00B650EF"/>
    <w:rsid w:val="00B654D2"/>
    <w:rsid w:val="00B669AD"/>
    <w:rsid w:val="00B72995"/>
    <w:rsid w:val="00B72B1D"/>
    <w:rsid w:val="00B73D96"/>
    <w:rsid w:val="00B7479B"/>
    <w:rsid w:val="00B77257"/>
    <w:rsid w:val="00B816B5"/>
    <w:rsid w:val="00B82D61"/>
    <w:rsid w:val="00B836AA"/>
    <w:rsid w:val="00B84AEB"/>
    <w:rsid w:val="00B900A8"/>
    <w:rsid w:val="00B920B6"/>
    <w:rsid w:val="00B92237"/>
    <w:rsid w:val="00B95951"/>
    <w:rsid w:val="00B973FD"/>
    <w:rsid w:val="00B9776E"/>
    <w:rsid w:val="00BA0AF6"/>
    <w:rsid w:val="00BA1995"/>
    <w:rsid w:val="00BA465A"/>
    <w:rsid w:val="00BA6012"/>
    <w:rsid w:val="00BA617F"/>
    <w:rsid w:val="00BB0DFD"/>
    <w:rsid w:val="00BB1F7F"/>
    <w:rsid w:val="00BB2FC0"/>
    <w:rsid w:val="00BB4647"/>
    <w:rsid w:val="00BB5C84"/>
    <w:rsid w:val="00BB6F52"/>
    <w:rsid w:val="00BC2A93"/>
    <w:rsid w:val="00BC3369"/>
    <w:rsid w:val="00BD0C01"/>
    <w:rsid w:val="00BD2FD9"/>
    <w:rsid w:val="00BD5478"/>
    <w:rsid w:val="00BE0358"/>
    <w:rsid w:val="00BE0B4F"/>
    <w:rsid w:val="00BE41D9"/>
    <w:rsid w:val="00BE4348"/>
    <w:rsid w:val="00BE5EB0"/>
    <w:rsid w:val="00BE7E91"/>
    <w:rsid w:val="00BF09B8"/>
    <w:rsid w:val="00BF1A3B"/>
    <w:rsid w:val="00BF3468"/>
    <w:rsid w:val="00BF699C"/>
    <w:rsid w:val="00BF6B85"/>
    <w:rsid w:val="00BF7225"/>
    <w:rsid w:val="00C00CED"/>
    <w:rsid w:val="00C01403"/>
    <w:rsid w:val="00C0210F"/>
    <w:rsid w:val="00C025A0"/>
    <w:rsid w:val="00C030BA"/>
    <w:rsid w:val="00C03408"/>
    <w:rsid w:val="00C051A8"/>
    <w:rsid w:val="00C055C4"/>
    <w:rsid w:val="00C077C4"/>
    <w:rsid w:val="00C14DA2"/>
    <w:rsid w:val="00C15E6B"/>
    <w:rsid w:val="00C16C9E"/>
    <w:rsid w:val="00C22573"/>
    <w:rsid w:val="00C2299D"/>
    <w:rsid w:val="00C238D4"/>
    <w:rsid w:val="00C34145"/>
    <w:rsid w:val="00C34971"/>
    <w:rsid w:val="00C36244"/>
    <w:rsid w:val="00C423E3"/>
    <w:rsid w:val="00C45343"/>
    <w:rsid w:val="00C4592D"/>
    <w:rsid w:val="00C45FC7"/>
    <w:rsid w:val="00C46F5D"/>
    <w:rsid w:val="00C528E5"/>
    <w:rsid w:val="00C52C6B"/>
    <w:rsid w:val="00C53CA9"/>
    <w:rsid w:val="00C55F5E"/>
    <w:rsid w:val="00C56C5A"/>
    <w:rsid w:val="00C62A41"/>
    <w:rsid w:val="00C62F4D"/>
    <w:rsid w:val="00C630CF"/>
    <w:rsid w:val="00C63779"/>
    <w:rsid w:val="00C7142C"/>
    <w:rsid w:val="00C71DA6"/>
    <w:rsid w:val="00C72975"/>
    <w:rsid w:val="00C75BAF"/>
    <w:rsid w:val="00C76B3A"/>
    <w:rsid w:val="00C77CFC"/>
    <w:rsid w:val="00C8115A"/>
    <w:rsid w:val="00C8192D"/>
    <w:rsid w:val="00C834AB"/>
    <w:rsid w:val="00C83848"/>
    <w:rsid w:val="00C86397"/>
    <w:rsid w:val="00C867E9"/>
    <w:rsid w:val="00C91235"/>
    <w:rsid w:val="00C915C0"/>
    <w:rsid w:val="00C93A68"/>
    <w:rsid w:val="00C94CAF"/>
    <w:rsid w:val="00C96BE5"/>
    <w:rsid w:val="00CA03CE"/>
    <w:rsid w:val="00CA0622"/>
    <w:rsid w:val="00CA2996"/>
    <w:rsid w:val="00CA44A8"/>
    <w:rsid w:val="00CA44FA"/>
    <w:rsid w:val="00CA4632"/>
    <w:rsid w:val="00CA6319"/>
    <w:rsid w:val="00CA6377"/>
    <w:rsid w:val="00CA6E95"/>
    <w:rsid w:val="00CA7693"/>
    <w:rsid w:val="00CB0294"/>
    <w:rsid w:val="00CB1E98"/>
    <w:rsid w:val="00CB2CFE"/>
    <w:rsid w:val="00CB6DD4"/>
    <w:rsid w:val="00CB7EAF"/>
    <w:rsid w:val="00CC12CA"/>
    <w:rsid w:val="00CC2AE0"/>
    <w:rsid w:val="00CC3DB1"/>
    <w:rsid w:val="00CD3D09"/>
    <w:rsid w:val="00CD723E"/>
    <w:rsid w:val="00CE0747"/>
    <w:rsid w:val="00CE528A"/>
    <w:rsid w:val="00CE5D14"/>
    <w:rsid w:val="00CE7E38"/>
    <w:rsid w:val="00CF2214"/>
    <w:rsid w:val="00CF274C"/>
    <w:rsid w:val="00CF2AF3"/>
    <w:rsid w:val="00CF37A4"/>
    <w:rsid w:val="00CF3ED3"/>
    <w:rsid w:val="00CF4049"/>
    <w:rsid w:val="00CF4F6A"/>
    <w:rsid w:val="00CF5239"/>
    <w:rsid w:val="00CF54C5"/>
    <w:rsid w:val="00CF71AB"/>
    <w:rsid w:val="00CF7542"/>
    <w:rsid w:val="00D01F92"/>
    <w:rsid w:val="00D03B4E"/>
    <w:rsid w:val="00D04C4D"/>
    <w:rsid w:val="00D069F3"/>
    <w:rsid w:val="00D07923"/>
    <w:rsid w:val="00D1489F"/>
    <w:rsid w:val="00D14FA3"/>
    <w:rsid w:val="00D177F7"/>
    <w:rsid w:val="00D2214F"/>
    <w:rsid w:val="00D236DC"/>
    <w:rsid w:val="00D23F9A"/>
    <w:rsid w:val="00D2578B"/>
    <w:rsid w:val="00D259B2"/>
    <w:rsid w:val="00D26596"/>
    <w:rsid w:val="00D273FE"/>
    <w:rsid w:val="00D30CDB"/>
    <w:rsid w:val="00D31369"/>
    <w:rsid w:val="00D319BB"/>
    <w:rsid w:val="00D3202D"/>
    <w:rsid w:val="00D324A7"/>
    <w:rsid w:val="00D3551B"/>
    <w:rsid w:val="00D40994"/>
    <w:rsid w:val="00D447CC"/>
    <w:rsid w:val="00D45DBA"/>
    <w:rsid w:val="00D4710A"/>
    <w:rsid w:val="00D51377"/>
    <w:rsid w:val="00D52CA2"/>
    <w:rsid w:val="00D57C58"/>
    <w:rsid w:val="00D61365"/>
    <w:rsid w:val="00D61804"/>
    <w:rsid w:val="00D626FE"/>
    <w:rsid w:val="00D636F2"/>
    <w:rsid w:val="00D63C7F"/>
    <w:rsid w:val="00D652E8"/>
    <w:rsid w:val="00D67404"/>
    <w:rsid w:val="00D67490"/>
    <w:rsid w:val="00D70216"/>
    <w:rsid w:val="00D72BEF"/>
    <w:rsid w:val="00D73410"/>
    <w:rsid w:val="00D734A3"/>
    <w:rsid w:val="00D747A1"/>
    <w:rsid w:val="00D749C6"/>
    <w:rsid w:val="00D761BD"/>
    <w:rsid w:val="00D76809"/>
    <w:rsid w:val="00D77B8C"/>
    <w:rsid w:val="00D77FA8"/>
    <w:rsid w:val="00D80288"/>
    <w:rsid w:val="00D80E97"/>
    <w:rsid w:val="00D84909"/>
    <w:rsid w:val="00D84928"/>
    <w:rsid w:val="00D84FE7"/>
    <w:rsid w:val="00D858F3"/>
    <w:rsid w:val="00D86841"/>
    <w:rsid w:val="00D90100"/>
    <w:rsid w:val="00D90149"/>
    <w:rsid w:val="00D901FD"/>
    <w:rsid w:val="00D903F9"/>
    <w:rsid w:val="00D935FF"/>
    <w:rsid w:val="00D94BD6"/>
    <w:rsid w:val="00D95642"/>
    <w:rsid w:val="00D961E9"/>
    <w:rsid w:val="00D96C6F"/>
    <w:rsid w:val="00DA168B"/>
    <w:rsid w:val="00DA2497"/>
    <w:rsid w:val="00DA3CBA"/>
    <w:rsid w:val="00DA4A53"/>
    <w:rsid w:val="00DA66F2"/>
    <w:rsid w:val="00DA6E0F"/>
    <w:rsid w:val="00DA796F"/>
    <w:rsid w:val="00DB352B"/>
    <w:rsid w:val="00DB3AFB"/>
    <w:rsid w:val="00DB3C0C"/>
    <w:rsid w:val="00DB4036"/>
    <w:rsid w:val="00DB5015"/>
    <w:rsid w:val="00DB6F8E"/>
    <w:rsid w:val="00DC004B"/>
    <w:rsid w:val="00DC1498"/>
    <w:rsid w:val="00DC22E0"/>
    <w:rsid w:val="00DC2471"/>
    <w:rsid w:val="00DC2F48"/>
    <w:rsid w:val="00DC5480"/>
    <w:rsid w:val="00DD05AD"/>
    <w:rsid w:val="00DD2FEC"/>
    <w:rsid w:val="00DD3421"/>
    <w:rsid w:val="00DD41B0"/>
    <w:rsid w:val="00DD5962"/>
    <w:rsid w:val="00DD6688"/>
    <w:rsid w:val="00DD68A5"/>
    <w:rsid w:val="00DD71AE"/>
    <w:rsid w:val="00DE14ED"/>
    <w:rsid w:val="00DE2694"/>
    <w:rsid w:val="00DE2A36"/>
    <w:rsid w:val="00DE3A0C"/>
    <w:rsid w:val="00DE6328"/>
    <w:rsid w:val="00DE6BFE"/>
    <w:rsid w:val="00DF0A42"/>
    <w:rsid w:val="00DF0BB7"/>
    <w:rsid w:val="00DF52CD"/>
    <w:rsid w:val="00DF54E8"/>
    <w:rsid w:val="00DF65DF"/>
    <w:rsid w:val="00DF69D1"/>
    <w:rsid w:val="00E0165E"/>
    <w:rsid w:val="00E10590"/>
    <w:rsid w:val="00E11B54"/>
    <w:rsid w:val="00E11E6D"/>
    <w:rsid w:val="00E123C6"/>
    <w:rsid w:val="00E1268B"/>
    <w:rsid w:val="00E12A61"/>
    <w:rsid w:val="00E12C94"/>
    <w:rsid w:val="00E14786"/>
    <w:rsid w:val="00E17E9A"/>
    <w:rsid w:val="00E2014B"/>
    <w:rsid w:val="00E247F3"/>
    <w:rsid w:val="00E26F3C"/>
    <w:rsid w:val="00E2729D"/>
    <w:rsid w:val="00E31090"/>
    <w:rsid w:val="00E3144E"/>
    <w:rsid w:val="00E31B04"/>
    <w:rsid w:val="00E33E2E"/>
    <w:rsid w:val="00E34078"/>
    <w:rsid w:val="00E347C5"/>
    <w:rsid w:val="00E40421"/>
    <w:rsid w:val="00E41743"/>
    <w:rsid w:val="00E4215F"/>
    <w:rsid w:val="00E4292E"/>
    <w:rsid w:val="00E42BEE"/>
    <w:rsid w:val="00E43829"/>
    <w:rsid w:val="00E469C2"/>
    <w:rsid w:val="00E50B4F"/>
    <w:rsid w:val="00E51EFD"/>
    <w:rsid w:val="00E5475D"/>
    <w:rsid w:val="00E55226"/>
    <w:rsid w:val="00E56190"/>
    <w:rsid w:val="00E56A07"/>
    <w:rsid w:val="00E57BBB"/>
    <w:rsid w:val="00E603EC"/>
    <w:rsid w:val="00E604A5"/>
    <w:rsid w:val="00E6115C"/>
    <w:rsid w:val="00E61EF3"/>
    <w:rsid w:val="00E6316A"/>
    <w:rsid w:val="00E63C03"/>
    <w:rsid w:val="00E6709A"/>
    <w:rsid w:val="00E67D6B"/>
    <w:rsid w:val="00E747BC"/>
    <w:rsid w:val="00E769FC"/>
    <w:rsid w:val="00E77BEC"/>
    <w:rsid w:val="00E8035D"/>
    <w:rsid w:val="00E86924"/>
    <w:rsid w:val="00E91F4D"/>
    <w:rsid w:val="00E92EF6"/>
    <w:rsid w:val="00E93D80"/>
    <w:rsid w:val="00E961DC"/>
    <w:rsid w:val="00EA07FF"/>
    <w:rsid w:val="00EA22C9"/>
    <w:rsid w:val="00EA36BA"/>
    <w:rsid w:val="00EA3751"/>
    <w:rsid w:val="00EA3FAF"/>
    <w:rsid w:val="00EA405A"/>
    <w:rsid w:val="00EA52E1"/>
    <w:rsid w:val="00EA5605"/>
    <w:rsid w:val="00EA5E6C"/>
    <w:rsid w:val="00EB0C5B"/>
    <w:rsid w:val="00EB1DEE"/>
    <w:rsid w:val="00EB2F34"/>
    <w:rsid w:val="00EB3248"/>
    <w:rsid w:val="00EB51DC"/>
    <w:rsid w:val="00EC01E7"/>
    <w:rsid w:val="00EC7DFA"/>
    <w:rsid w:val="00ED5067"/>
    <w:rsid w:val="00EE00D7"/>
    <w:rsid w:val="00EE0920"/>
    <w:rsid w:val="00EE17D4"/>
    <w:rsid w:val="00EE2482"/>
    <w:rsid w:val="00EE73B2"/>
    <w:rsid w:val="00EF0193"/>
    <w:rsid w:val="00EF1389"/>
    <w:rsid w:val="00EF271B"/>
    <w:rsid w:val="00EF27DE"/>
    <w:rsid w:val="00EF356B"/>
    <w:rsid w:val="00EF4315"/>
    <w:rsid w:val="00EF5F61"/>
    <w:rsid w:val="00EF7C5D"/>
    <w:rsid w:val="00F00B1E"/>
    <w:rsid w:val="00F017D2"/>
    <w:rsid w:val="00F02113"/>
    <w:rsid w:val="00F0328C"/>
    <w:rsid w:val="00F04E09"/>
    <w:rsid w:val="00F0783B"/>
    <w:rsid w:val="00F13999"/>
    <w:rsid w:val="00F142D7"/>
    <w:rsid w:val="00F14322"/>
    <w:rsid w:val="00F14A53"/>
    <w:rsid w:val="00F14BE2"/>
    <w:rsid w:val="00F219A5"/>
    <w:rsid w:val="00F22918"/>
    <w:rsid w:val="00F247E4"/>
    <w:rsid w:val="00F24A3C"/>
    <w:rsid w:val="00F25A00"/>
    <w:rsid w:val="00F263E0"/>
    <w:rsid w:val="00F310AD"/>
    <w:rsid w:val="00F31354"/>
    <w:rsid w:val="00F31C79"/>
    <w:rsid w:val="00F3296B"/>
    <w:rsid w:val="00F34CEA"/>
    <w:rsid w:val="00F3716B"/>
    <w:rsid w:val="00F40F40"/>
    <w:rsid w:val="00F418CA"/>
    <w:rsid w:val="00F43FDC"/>
    <w:rsid w:val="00F43FE1"/>
    <w:rsid w:val="00F47915"/>
    <w:rsid w:val="00F50E04"/>
    <w:rsid w:val="00F52675"/>
    <w:rsid w:val="00F53826"/>
    <w:rsid w:val="00F53F18"/>
    <w:rsid w:val="00F546B4"/>
    <w:rsid w:val="00F54A14"/>
    <w:rsid w:val="00F5523F"/>
    <w:rsid w:val="00F55411"/>
    <w:rsid w:val="00F55B4A"/>
    <w:rsid w:val="00F5638B"/>
    <w:rsid w:val="00F56485"/>
    <w:rsid w:val="00F5715C"/>
    <w:rsid w:val="00F5734B"/>
    <w:rsid w:val="00F57CFC"/>
    <w:rsid w:val="00F66193"/>
    <w:rsid w:val="00F66729"/>
    <w:rsid w:val="00F66995"/>
    <w:rsid w:val="00F72267"/>
    <w:rsid w:val="00F723B3"/>
    <w:rsid w:val="00F7535C"/>
    <w:rsid w:val="00F7665C"/>
    <w:rsid w:val="00F76745"/>
    <w:rsid w:val="00F769C2"/>
    <w:rsid w:val="00F77124"/>
    <w:rsid w:val="00F80C83"/>
    <w:rsid w:val="00F82D6D"/>
    <w:rsid w:val="00F83A1C"/>
    <w:rsid w:val="00F83BBE"/>
    <w:rsid w:val="00F84858"/>
    <w:rsid w:val="00F87512"/>
    <w:rsid w:val="00F94F40"/>
    <w:rsid w:val="00F96007"/>
    <w:rsid w:val="00F96DE1"/>
    <w:rsid w:val="00F96EAE"/>
    <w:rsid w:val="00FA5036"/>
    <w:rsid w:val="00FB0A37"/>
    <w:rsid w:val="00FB28B7"/>
    <w:rsid w:val="00FB34E0"/>
    <w:rsid w:val="00FB3513"/>
    <w:rsid w:val="00FB573E"/>
    <w:rsid w:val="00FB5C32"/>
    <w:rsid w:val="00FB5EC5"/>
    <w:rsid w:val="00FB6EEC"/>
    <w:rsid w:val="00FC172B"/>
    <w:rsid w:val="00FC3541"/>
    <w:rsid w:val="00FC3842"/>
    <w:rsid w:val="00FC3A24"/>
    <w:rsid w:val="00FC3C8D"/>
    <w:rsid w:val="00FC50B2"/>
    <w:rsid w:val="00FC5BD7"/>
    <w:rsid w:val="00FC67FC"/>
    <w:rsid w:val="00FC70D4"/>
    <w:rsid w:val="00FD1B0A"/>
    <w:rsid w:val="00FD63A6"/>
    <w:rsid w:val="00FD662C"/>
    <w:rsid w:val="00FD6A64"/>
    <w:rsid w:val="00FE0CA8"/>
    <w:rsid w:val="00FE3608"/>
    <w:rsid w:val="00FE39CD"/>
    <w:rsid w:val="00FE3AF3"/>
    <w:rsid w:val="00FE6993"/>
    <w:rsid w:val="00FF0462"/>
    <w:rsid w:val="00FF44A3"/>
    <w:rsid w:val="00FF4A75"/>
    <w:rsid w:val="00FF5751"/>
    <w:rsid w:val="00FF5809"/>
    <w:rsid w:val="00FF630D"/>
    <w:rsid w:val="00FF78FD"/>
    <w:rsid w:val="01DC1596"/>
    <w:rsid w:val="03B17216"/>
    <w:rsid w:val="083E5408"/>
    <w:rsid w:val="08617DB6"/>
    <w:rsid w:val="0B7B3578"/>
    <w:rsid w:val="0C8218E4"/>
    <w:rsid w:val="0FAD6F56"/>
    <w:rsid w:val="10252C0D"/>
    <w:rsid w:val="136751B1"/>
    <w:rsid w:val="137177D1"/>
    <w:rsid w:val="15F110CB"/>
    <w:rsid w:val="1680770F"/>
    <w:rsid w:val="17992F93"/>
    <w:rsid w:val="17B87D32"/>
    <w:rsid w:val="18B139FB"/>
    <w:rsid w:val="1B2804AA"/>
    <w:rsid w:val="1D580FD2"/>
    <w:rsid w:val="20407C1D"/>
    <w:rsid w:val="230E735D"/>
    <w:rsid w:val="274C555E"/>
    <w:rsid w:val="28B32DDC"/>
    <w:rsid w:val="29F072C8"/>
    <w:rsid w:val="2AF611F8"/>
    <w:rsid w:val="2B265F31"/>
    <w:rsid w:val="2C8E0582"/>
    <w:rsid w:val="2D1E33D8"/>
    <w:rsid w:val="2FF4394D"/>
    <w:rsid w:val="33191B54"/>
    <w:rsid w:val="3343179B"/>
    <w:rsid w:val="35A07EFF"/>
    <w:rsid w:val="366614E3"/>
    <w:rsid w:val="37EB593A"/>
    <w:rsid w:val="38E15F89"/>
    <w:rsid w:val="393E11CC"/>
    <w:rsid w:val="397D5308"/>
    <w:rsid w:val="3A2327A3"/>
    <w:rsid w:val="3A8A6B23"/>
    <w:rsid w:val="3AA10ABD"/>
    <w:rsid w:val="3BEE21B2"/>
    <w:rsid w:val="3CE861FF"/>
    <w:rsid w:val="3DF202A9"/>
    <w:rsid w:val="3E186B61"/>
    <w:rsid w:val="3E3B623B"/>
    <w:rsid w:val="43336B0A"/>
    <w:rsid w:val="43903811"/>
    <w:rsid w:val="461404D0"/>
    <w:rsid w:val="481A01E4"/>
    <w:rsid w:val="48B8668B"/>
    <w:rsid w:val="4B852DF1"/>
    <w:rsid w:val="4C882833"/>
    <w:rsid w:val="4EBC201E"/>
    <w:rsid w:val="50F4318F"/>
    <w:rsid w:val="514A6358"/>
    <w:rsid w:val="525F5446"/>
    <w:rsid w:val="53307D94"/>
    <w:rsid w:val="53D01C72"/>
    <w:rsid w:val="54B3091A"/>
    <w:rsid w:val="552153FB"/>
    <w:rsid w:val="56F1275E"/>
    <w:rsid w:val="58BA236A"/>
    <w:rsid w:val="59035180"/>
    <w:rsid w:val="59792684"/>
    <w:rsid w:val="59A62868"/>
    <w:rsid w:val="5A656403"/>
    <w:rsid w:val="5E695DF9"/>
    <w:rsid w:val="5E720F9C"/>
    <w:rsid w:val="5F50310D"/>
    <w:rsid w:val="6363323C"/>
    <w:rsid w:val="63DE6370"/>
    <w:rsid w:val="6413510A"/>
    <w:rsid w:val="6812310F"/>
    <w:rsid w:val="68351866"/>
    <w:rsid w:val="695D5260"/>
    <w:rsid w:val="6A9E126E"/>
    <w:rsid w:val="6B491CC4"/>
    <w:rsid w:val="6B631008"/>
    <w:rsid w:val="6E6C62B9"/>
    <w:rsid w:val="6F9F21B9"/>
    <w:rsid w:val="71DC5A7B"/>
    <w:rsid w:val="721418C8"/>
    <w:rsid w:val="73D54CC2"/>
    <w:rsid w:val="74025EBD"/>
    <w:rsid w:val="76280C37"/>
    <w:rsid w:val="77615780"/>
    <w:rsid w:val="77DB1BA4"/>
    <w:rsid w:val="7AEF29FE"/>
    <w:rsid w:val="7BD307DF"/>
    <w:rsid w:val="7D467C0E"/>
    <w:rsid w:val="7EAF6B01"/>
    <w:rsid w:val="7F43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semiHidden/>
    <w:unhideWhenUsed/>
    <w:qFormat/>
    <w:uiPriority w:val="99"/>
    <w:pPr>
      <w:tabs>
        <w:tab w:val="center" w:pos="4153"/>
        <w:tab w:val="right" w:pos="8306"/>
      </w:tabs>
      <w:snapToGrid w:val="0"/>
      <w:jc w:val="left"/>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脚 Char"/>
    <w:basedOn w:val="6"/>
    <w:link w:val="3"/>
    <w:semiHidden/>
    <w:qFormat/>
    <w:uiPriority w:val="99"/>
    <w:rPr>
      <w:sz w:val="18"/>
      <w:szCs w:val="18"/>
    </w:rPr>
  </w:style>
  <w:style w:type="character" w:customStyle="1" w:styleId="8">
    <w:name w:val="批注框文本 Char"/>
    <w:basedOn w:val="6"/>
    <w:link w:val="2"/>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5998</Words>
  <Characters>6540</Characters>
  <Lines>30</Lines>
  <Paragraphs>8</Paragraphs>
  <TotalTime>1</TotalTime>
  <ScaleCrop>false</ScaleCrop>
  <LinksUpToDate>false</LinksUpToDate>
  <CharactersWithSpaces>6577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2020-01-19T08:29:00Z</dcterms:created>
  <dc:creator>User</dc:creator>
  <cp:lastModifiedBy>Administrator</cp:lastModifiedBy>
  <dcterms:modified xsi:type="dcterms:W3CDTF">2022-08-19T02:50:47Z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38D36856740741BD86222AFC354A9D40</vt:lpwstr>
  </property>
</Properties>
</file>