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2020年度重点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项目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绩效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评价结果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项目支出</w:t>
      </w:r>
      <w:r>
        <w:rPr>
          <w:rFonts w:ascii="Times New Roman" w:hAnsi="Times New Roman" w:eastAsia="黑体" w:cs="Times New Roman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（一）</w:t>
      </w: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项目支出</w:t>
      </w: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资金概况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年我单位项目支出预算共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>43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万元，包含项目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4 </w:t>
      </w: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个，实际支出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43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万元（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业务工作经费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0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万元、专项经费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43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万元、政府专项经费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0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万元），涵盖项目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>4</w:t>
      </w: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个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具体情况如下：</w:t>
      </w:r>
    </w:p>
    <w:p>
      <w:pPr>
        <w:spacing w:line="660" w:lineRule="exact"/>
        <w:ind w:firstLine="480" w:firstLineChars="200"/>
        <w:jc w:val="right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金额单位：万元</w:t>
      </w:r>
    </w:p>
    <w:tbl>
      <w:tblPr>
        <w:tblStyle w:val="5"/>
        <w:tblW w:w="9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064"/>
        <w:gridCol w:w="3623"/>
        <w:gridCol w:w="945"/>
        <w:gridCol w:w="1005"/>
        <w:gridCol w:w="840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44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064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3623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资金用途、使用方向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预算金额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支出金额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2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总额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其中：区级资金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支出总额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其中：区级资金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1.编辑《开福商海》杂志经费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部门专项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区级支付，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《开福商海》1年2期，包括编辑和印制。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2.工商界人士迎春会经费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部门专项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区级支付，1.制定活动计划.2.收集整理一年来基层上报的商会情况。3.向工商联执委汇报一年工作情况。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3.工商联教育培训、维权、调研、活动经费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部门专项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区级支付，1开展“大走访”调研活动收集各方建议意见，2.结合重要节日组织培训活动。3.组织召开常委会、务虚会等加强交流沟通。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4.非公企业服务工作经费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部门专项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区级支付，1.组织基层秘书长培训。2.引导会员积极参政议政献言献策。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831" w:type="dxa"/>
            <w:gridSpan w:val="3"/>
            <w:noWrap w:val="0"/>
            <w:vAlign w:val="center"/>
          </w:tcPr>
          <w:p>
            <w:pPr>
              <w:tabs>
                <w:tab w:val="left" w:pos="2243"/>
              </w:tabs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（二）项目绩效</w:t>
      </w: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目标</w:t>
      </w: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主要包括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项目绩效总目标和阶段性目标，预期主要的经济效益、社会效益、生态效益和可持续影响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7" w:h="16840"/>
          <w:pgMar w:top="1587" w:right="1474" w:bottom="2041" w:left="1587" w:header="851" w:footer="992" w:gutter="0"/>
          <w:cols w:space="720" w:num="1"/>
          <w:docGrid w:type="lines" w:linePitch="381" w:charSpace="-5735"/>
        </w:sectPr>
      </w:pPr>
    </w:p>
    <w:tbl>
      <w:tblPr>
        <w:tblStyle w:val="4"/>
        <w:tblW w:w="14000" w:type="dxa"/>
        <w:tblInd w:w="-47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980"/>
        <w:gridCol w:w="1127"/>
        <w:gridCol w:w="886"/>
        <w:gridCol w:w="990"/>
        <w:gridCol w:w="990"/>
        <w:gridCol w:w="990"/>
        <w:gridCol w:w="1261"/>
        <w:gridCol w:w="2663"/>
        <w:gridCol w:w="2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资金总额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资金投向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经济效益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社会效益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生态效益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可持续影响</w:t>
            </w:r>
          </w:p>
        </w:tc>
        <w:tc>
          <w:tcPr>
            <w:tcW w:w="2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绩效总目标</w:t>
            </w:r>
          </w:p>
        </w:tc>
        <w:tc>
          <w:tcPr>
            <w:tcW w:w="2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阶段性目标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区工商联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编辑《开福商海》杂志经费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10.00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区级支付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</w:rPr>
              <w:t>促进基层商会和行业商会发展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反映非公有制企业和非公有制经济人士利益诉求，维护其合法权益，参与经济纠纷的调解、仲裁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坚持促进“两</w:t>
            </w:r>
            <w:r>
              <w:rPr>
                <w:rFonts w:hint="eastAsia"/>
                <w:sz w:val="18"/>
                <w:szCs w:val="18"/>
              </w:rPr>
              <w:t>个健康”， 坚持服务宗旨，不断提高工商联服务企业的能力和水平。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坚持教育引导，推动民营企业更好承担社会责任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1.坚持党的领导，把政治引领作为首要任务，用实际行动深入学习宣传贯彻落实党的十九大精神 2、坚持促进“两个健康”， 坚持服务宗旨，不断提高工商联服务企业的能力和水平。3.坚持教育引导，推动民营企业更好承担社会责任 4.坚持夯实基础，不断增强工商联的凝聚力、影响力、执行力。 </w:t>
            </w:r>
          </w:p>
        </w:tc>
        <w:tc>
          <w:tcPr>
            <w:tcW w:w="2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1.坚持党的领导，把政治引领作为首要任务，用实际行动深入学习宣传贯彻落实党的十九大精神 2、坚持促进“两个健康”， 坚持服务宗旨，不断提高工商联服务企业的能力和水平。3.坚持教育引导，推动民营企业更好承担社会责任 4.坚持夯实基础，不断增强工商联的凝聚力、影响力、执行力。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区工商联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工商界人士迎春会经费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8.00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区级支付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2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区工商联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工商联教育培训、维权、调研、活动经费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15.00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区级支付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2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区工商联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非公企业服务工作经费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10.00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区级支付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2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  <w:sectPr>
          <w:pgSz w:w="16840" w:h="11907" w:orient="landscape"/>
          <w:pgMar w:top="1587" w:right="2154" w:bottom="1474" w:left="2041" w:header="851" w:footer="992" w:gutter="0"/>
          <w:cols w:space="720" w:num="1"/>
          <w:docGrid w:type="lines" w:linePitch="381" w:charSpace="-5735"/>
        </w:sect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eastAsia="楷体_GB2312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  <w:t>三）</w:t>
      </w: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资金使用管理情况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工商联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严肃财经纪律，严格执行财务制度，加强项目资金的管理。严格按照财务管理规定实行收支两条线，经费支出实行申请、审批、报账制，所有经费全部接受纪检、财政部门的监督和管理，把资金用到刀刃上。通过专项资金的使用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助力优化营商环境，促进了“两个健康”发展，推动了民营企业更好承担社会责任，不断增强工商联的凝聚力、影响力、执行力。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ascii="Times New Roman" w:hAnsi="Times New Roman" w:eastAsia="黑体" w:cs="Times New Roman"/>
          <w:sz w:val="32"/>
          <w:szCs w:val="32"/>
        </w:rPr>
        <w:t>绩效评价工作情况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 xml:space="preserve">坚持党的领导，把政治引领作为首要任务，用实际行动深入学习宣传贯彻落实党的十九大精神 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坚持促进“两个健康”， 坚持服务宗旨，不断提高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工商联服务企业的能力和水平。引导会员积极参加经济建设，促进区域非公有制经济健康发展，促进地区公益事业发展，在会员与政府之间发挥桥梁作用。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val="en-US" w:eastAsia="zh-CN"/>
        </w:rPr>
        <w:t>三、</w:t>
      </w: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项目支出</w:t>
      </w:r>
      <w:r>
        <w:rPr>
          <w:rFonts w:ascii="Times New Roman" w:hAnsi="Times New Roman" w:eastAsia="黑体" w:cs="Times New Roman"/>
          <w:sz w:val="32"/>
          <w:szCs w:val="32"/>
        </w:rPr>
        <w:t>主要绩效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我单位切实加强财政支出管理，提高财政资金使用效益，较好地实现了预期绩效目标。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《开福商海》杂志采编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经费10万元。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完成了一年两期的《开福商海》杂志采编印制发放工作，并通过宣传开福区营商环境、区域民营企业家，促进开福区非公有制经济和非公有制经济人士健康发展。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工商界人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迎春会议8万元。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召开了工商界人士执委会议并进行了评比表彰，加强了非公有制经济人士思想政治工作，增强了工商联的凝聚力、影响力、执行力。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工商联教育培训、维权、调研、活动经费15万元。调研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通过走访调研、举办高级研修班、组织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企业团队建设学习活动、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召开民营企业家座谈会等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丰富多样的活动，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宣传、贯彻党和国家的方针、政策，加强和改进思想政治工作，教育会员“爱国、敬业、守法”，提高会员素质；引导会员积极参加经济建设，促进区域非公有制经济健康发展，促进地区公益事业发展，在会员与政府之间发挥了桥梁纽带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非公企业服务工作经费10万元。组织开展防疫抗疫工作，为企业送去防疫物资。召开政企座谈会，发放政策汇编，搭建好政企沟通的桥梁。引导会员积极参政议政献言献策。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个别项目资金使用方面预算不够细致，出现实际支出数小于了预算申报数和出现项目资金略有结余的情况。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进一步强化预算管理意思，预算编制前多与有关科室做好沟通衔接，提高预算编制的科学性、合理性、准确性和可控性。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六、其他需要说明的问题</w:t>
      </w:r>
    </w:p>
    <w:p>
      <w:pPr>
        <w:spacing w:line="600" w:lineRule="exact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21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1MjkzYzk1ZDM0NDBhNDQ2OTdjYmExNjUyMGNmMmEifQ=="/>
  </w:docVars>
  <w:rsids>
    <w:rsidRoot w:val="5B2053A1"/>
    <w:rsid w:val="5B20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2022-08-31T03:53:00Z</dcterms:created>
  <dc:creator>GSL</dc:creator>
  <cp:lastModifiedBy>GSL</cp:lastModifiedBy>
  <dcterms:modified xsi:type="dcterms:W3CDTF">2022-08-31T04:06:10Z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3A4CF510D43843EE94357DA5362974A1</vt:lpwstr>
  </property>
</Properties>
</file>