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shd w:val="clear" w:fill="FFFFFF"/>
        </w:rPr>
        <w:t>2020年度长沙市开福区工商业联合会部门决算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rPr>
        <w:t>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570"/>
        <w:jc w:val="both"/>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shd w:val="clear" w:fill="FFFFFF"/>
        </w:rPr>
        <w:t>第一部分 开福区工商业联合会部门概况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b/>
          <w:bCs/>
          <w:color w:val="auto"/>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57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570"/>
        <w:jc w:val="both"/>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第一部分 开福区工商业联合会部门概况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1、贯彻执行党的基本路线，在区委领导下，参政议政，发挥民主监督作用。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2、宣传、贯彻党和国家的方针、政策，加强和改进思想政治工作，教育会员“爱国、敬业、守法”，提高会员素质，培养骨干分子队伍。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3、组织和指导基层商会工作，加强基层组织的建设和管理。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4、代表并维护会员的合法权益，反映会员的意见、要求和建议，协调关系，调解经济纠纷。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5、做好非公有制经济代表人士政治安排的推荐工作。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6、引导会员积极参加经济建设，促进区域非公有制经济健康发展，促进地区公益事业发展，在会员与政府之间发挥桥梁作用。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7、增进与港澳台胞和世界各国工商社团及工商界人士的联系和友谊，加强与各级工商联组织联系，促进资源共享和地区经济、技术和贸易合作的发展，协助区政府引进资金、技术和人才。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8、为会员提供信息、科技、管理、法律、会计、审计、融资、交通、咨询等多种形式服务。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9、承办区委、区政府和上级工商联及有关部门交办的其它工作。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1.本部门由开福区工商业联合会本级、没有内设机构（不设立科室，有办公室1个）和0个二级机构组成。所有本级全部纳入开福区工商联部门预决算统一核算。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2.本部门编制数3名，在职人数 6人，其中领导职数4名：主席1名，书记1名，副主席2名。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编外长期聘用人员 2 人；离退休人数 1人，其中离休人员 0 人，退休人员 1 人（社保发放工资）。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决算单位构成</w:t>
      </w:r>
      <w:r>
        <w:rPr>
          <w:rFonts w:hint="eastAsia" w:ascii="仿宋" w:hAnsi="仿宋" w:eastAsia="仿宋" w:cs="仿宋"/>
          <w:i w:val="0"/>
          <w:iCs w:val="0"/>
          <w:caps w:val="0"/>
          <w:color w:val="auto"/>
          <w:spacing w:val="0"/>
          <w:sz w:val="32"/>
          <w:szCs w:val="32"/>
          <w:shd w:val="clear" w:fill="FFFFFF"/>
        </w:rPr>
        <w:t>。区工商联2020年部门决算汇总公开单位构成包括：开福区工商业联合会本级。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第二部分</w:t>
      </w:r>
      <w:r>
        <w:rPr>
          <w:rFonts w:hint="eastAsia" w:ascii="黑体" w:hAnsi="黑体" w:eastAsia="黑体" w:cs="黑体"/>
          <w:i w:val="0"/>
          <w:iCs w:val="0"/>
          <w:caps w:val="0"/>
          <w:color w:val="auto"/>
          <w:spacing w:val="0"/>
          <w:sz w:val="44"/>
          <w:szCs w:val="44"/>
          <w:shd w:val="clear" w:fill="FFFFFF"/>
          <w:lang w:val="en-US" w:eastAsia="zh-CN"/>
        </w:rPr>
        <w:t xml:space="preserve"> </w:t>
      </w:r>
      <w:r>
        <w:rPr>
          <w:rFonts w:hint="eastAsia" w:ascii="黑体" w:hAnsi="黑体" w:eastAsia="黑体" w:cs="黑体"/>
          <w:i w:val="0"/>
          <w:iCs w:val="0"/>
          <w:caps w:val="0"/>
          <w:color w:val="auto"/>
          <w:spacing w:val="0"/>
          <w:sz w:val="44"/>
          <w:szCs w:val="44"/>
          <w:shd w:val="clear" w:fill="FFFFFF"/>
        </w:rPr>
        <w:t>开福区工商业联合会2020年度部门决算表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详情请见附件</w:t>
      </w:r>
      <w:r>
        <w:rPr>
          <w:rFonts w:hint="eastAsia" w:ascii="仿宋" w:hAnsi="仿宋" w:eastAsia="仿宋" w:cs="仿宋"/>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第三部分  开福区工商业联合会2020年度部门决算情况说明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2020年度收入总计261.86</w:t>
      </w:r>
      <w:r>
        <w:rPr>
          <w:rFonts w:hint="eastAsia" w:ascii="仿宋" w:hAnsi="仿宋" w:eastAsia="仿宋" w:cs="仿宋"/>
          <w:i w:val="0"/>
          <w:iCs w:val="0"/>
          <w:caps w:val="0"/>
          <w:color w:val="auto"/>
          <w:spacing w:val="0"/>
          <w:sz w:val="32"/>
          <w:szCs w:val="32"/>
          <w:shd w:val="clear" w:fill="FFFFFF"/>
          <w:lang w:val="en-US" w:eastAsia="zh-CN"/>
        </w:rPr>
        <w:t>万元</w:t>
      </w:r>
      <w:r>
        <w:rPr>
          <w:rFonts w:hint="eastAsia" w:ascii="仿宋" w:hAnsi="仿宋" w:eastAsia="仿宋" w:cs="仿宋"/>
          <w:i w:val="0"/>
          <w:iCs w:val="0"/>
          <w:caps w:val="0"/>
          <w:color w:val="auto"/>
          <w:spacing w:val="0"/>
          <w:sz w:val="32"/>
          <w:szCs w:val="32"/>
          <w:shd w:val="clear" w:fill="FFFFFF"/>
        </w:rPr>
        <w:t>，其中：收入合计261.86万元，2020年年初结转0</w:t>
      </w:r>
      <w:r>
        <w:rPr>
          <w:rFonts w:hint="eastAsia" w:ascii="仿宋" w:hAnsi="仿宋" w:eastAsia="仿宋" w:cs="仿宋"/>
          <w:i w:val="0"/>
          <w:iCs w:val="0"/>
          <w:caps w:val="0"/>
          <w:color w:val="auto"/>
          <w:spacing w:val="0"/>
          <w:sz w:val="32"/>
          <w:szCs w:val="32"/>
          <w:shd w:val="clear" w:fill="FFFFFF"/>
          <w:lang w:val="en-US" w:eastAsia="zh-CN"/>
        </w:rPr>
        <w:t>万元</w:t>
      </w:r>
      <w:r>
        <w:rPr>
          <w:rFonts w:hint="eastAsia" w:ascii="仿宋" w:hAnsi="仿宋" w:eastAsia="仿宋" w:cs="仿宋"/>
          <w:i w:val="0"/>
          <w:iCs w:val="0"/>
          <w:caps w:val="0"/>
          <w:color w:val="auto"/>
          <w:spacing w:val="0"/>
          <w:sz w:val="32"/>
          <w:szCs w:val="32"/>
          <w:shd w:val="clear" w:fill="FFFFFF"/>
        </w:rPr>
        <w:t>；与2019年相比收入总计增加9.3万元，增加3.68%；主要原因：与2019年决算相比人员支出预算差异是因为人员工资福利及保险</w:t>
      </w:r>
      <w:bookmarkStart w:id="0" w:name="_GoBack"/>
      <w:bookmarkEnd w:id="0"/>
      <w:r>
        <w:rPr>
          <w:rFonts w:hint="eastAsia" w:ascii="仿宋" w:hAnsi="仿宋" w:eastAsia="仿宋" w:cs="仿宋"/>
          <w:i w:val="0"/>
          <w:iCs w:val="0"/>
          <w:caps w:val="0"/>
          <w:color w:val="auto"/>
          <w:spacing w:val="0"/>
          <w:sz w:val="32"/>
          <w:szCs w:val="32"/>
          <w:shd w:val="clear" w:fill="FFFFFF"/>
        </w:rPr>
        <w:t>经费调整；项目收入中增加非公企业服务工作经费10万元。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2020年度支出总计261.86万元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其中：</w:t>
      </w:r>
      <w:r>
        <w:rPr>
          <w:rFonts w:hint="eastAsia" w:ascii="仿宋" w:hAnsi="仿宋" w:eastAsia="仿宋" w:cs="仿宋"/>
          <w:i w:val="0"/>
          <w:iCs w:val="0"/>
          <w:caps w:val="0"/>
          <w:color w:val="auto"/>
          <w:spacing w:val="0"/>
          <w:sz w:val="32"/>
          <w:szCs w:val="32"/>
          <w:shd w:val="clear" w:fill="FFFFFF"/>
        </w:rPr>
        <w:t>支出合计259.8万元,2020年年末结转2.05万元。与2019年相比支出总计增加9.3万元，增长3.68%。主要原因：与2019年决算相比人员支出预算差异是因为人员工资福利及保险经费调整；项目收入中增加非公企业服务工作经费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261.86万元，财政拨款（财政补助）收入261.86万元，占总收入的100%。比2019年增加了9.3万元，增加3.68%。上级补助收入0万元，占0%；事业收入0万元，占0%；经营收入0万元，占0%；附属单位上缴收入0万元，占0%；其他收入0万元，占0%。主要原因是：非公企业服务工作经费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259.8万元，比2019年增加18.87万元，增长7.83%。其中：其中：基本支出216.8万元（其中人员支出192.55万元，机关运行经费24.25万元。），占本年支出的83.45%；项目支出43万元，占本年支出的16.55%。上缴上级支出0万元，占0%；经营支出0万元，占0%；对附属单位补助支出0万元，占0%。本年支出增长的主要原因是：与2019年决算相比人员支出增加17.32万元，机关运行经费增加3.69万元。项目支出减少2.14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财政拨款收入261.86万元，比上年度增加了9.3万元，增加3.68%。主要原因：与2019年决算相比人员支出增加17.32万元，机关运行经费增加3.69万元。项目支出减少2.14万元。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财政拨款支出</w:t>
      </w:r>
      <w:r>
        <w:rPr>
          <w:rFonts w:hint="eastAsia" w:ascii="仿宋" w:hAnsi="仿宋" w:eastAsia="仿宋" w:cs="仿宋"/>
          <w:i w:val="0"/>
          <w:iCs w:val="0"/>
          <w:caps w:val="0"/>
          <w:color w:val="auto"/>
          <w:spacing w:val="0"/>
          <w:sz w:val="32"/>
          <w:szCs w:val="32"/>
          <w:shd w:val="clear" w:fill="FFFFFF"/>
        </w:rPr>
        <w:t>261.86</w:t>
      </w:r>
      <w:r>
        <w:rPr>
          <w:rFonts w:hint="eastAsia" w:ascii="仿宋" w:hAnsi="仿宋" w:eastAsia="仿宋" w:cs="仿宋"/>
          <w:i w:val="0"/>
          <w:iCs w:val="0"/>
          <w:caps w:val="0"/>
          <w:color w:val="auto"/>
          <w:spacing w:val="0"/>
          <w:sz w:val="32"/>
          <w:szCs w:val="32"/>
          <w:shd w:val="clear" w:fill="FFFFFF"/>
        </w:rPr>
        <w:t>万元，比上年度增加</w:t>
      </w:r>
      <w:r>
        <w:rPr>
          <w:rFonts w:hint="eastAsia" w:ascii="仿宋" w:hAnsi="仿宋" w:eastAsia="仿宋" w:cs="仿宋"/>
          <w:i w:val="0"/>
          <w:iCs w:val="0"/>
          <w:caps w:val="0"/>
          <w:color w:val="auto"/>
          <w:spacing w:val="0"/>
          <w:sz w:val="32"/>
          <w:szCs w:val="32"/>
          <w:shd w:val="clear" w:fill="FFFFFF"/>
        </w:rPr>
        <w:t>9.3</w:t>
      </w:r>
      <w:r>
        <w:rPr>
          <w:rFonts w:hint="eastAsia" w:ascii="仿宋" w:hAnsi="仿宋" w:eastAsia="仿宋" w:cs="仿宋"/>
          <w:i w:val="0"/>
          <w:iCs w:val="0"/>
          <w:caps w:val="0"/>
          <w:color w:val="auto"/>
          <w:spacing w:val="0"/>
          <w:sz w:val="32"/>
          <w:szCs w:val="32"/>
          <w:shd w:val="clear" w:fill="FFFFFF"/>
        </w:rPr>
        <w:t>万元，增长</w:t>
      </w:r>
      <w:r>
        <w:rPr>
          <w:rFonts w:hint="eastAsia" w:ascii="仿宋" w:hAnsi="仿宋" w:eastAsia="仿宋" w:cs="仿宋"/>
          <w:i w:val="0"/>
          <w:iCs w:val="0"/>
          <w:caps w:val="0"/>
          <w:color w:val="auto"/>
          <w:spacing w:val="0"/>
          <w:sz w:val="32"/>
          <w:szCs w:val="32"/>
          <w:shd w:val="clear" w:fill="FFFFFF"/>
        </w:rPr>
        <w:t>3.68</w:t>
      </w:r>
      <w:r>
        <w:rPr>
          <w:rFonts w:hint="eastAsia" w:ascii="仿宋" w:hAnsi="仿宋" w:eastAsia="仿宋" w:cs="仿宋"/>
          <w:i w:val="0"/>
          <w:iCs w:val="0"/>
          <w:caps w:val="0"/>
          <w:color w:val="auto"/>
          <w:spacing w:val="0"/>
          <w:sz w:val="32"/>
          <w:szCs w:val="32"/>
          <w:shd w:val="clear" w:fill="FFFFFF"/>
        </w:rPr>
        <w:t>%。主要原因：与2019年决算相比人员支出增加17.32万元，机关运行经费增加3.69万元。项目支出减少2.14万元。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开福区工商业联合会2020年度一般公共预算财政拨款支出259.8万元，其中基本支出216.8万元，占总支出的83.45%，项目支出43万元，占本年支出的16.55%。一般公共财政预拨款支出与2019年相比增加18.87万元，增长7.83%。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开福区工商业联合会2020年度一般公共财政预拨款支出259.8万元，其中一般公共服务支出230.53万元，占支出的88.73%；住房保障支出12.88万元，占4.96%；社会保障和就业支出13.39万元,占5.16%；城乡社区支出3万元，占1.15%</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2020年度财政拨款支出年初预算数为248.97万元，调整预算12.89万元，年初结余0万元，支出决算数为259.8万元，完成年初预算数为</w:t>
      </w:r>
      <w:r>
        <w:rPr>
          <w:rFonts w:hint="eastAsia" w:ascii="仿宋" w:hAnsi="仿宋" w:eastAsia="仿宋" w:cs="仿宋"/>
          <w:i w:val="0"/>
          <w:iCs w:val="0"/>
          <w:caps w:val="0"/>
          <w:color w:val="auto"/>
          <w:spacing w:val="0"/>
          <w:sz w:val="32"/>
          <w:szCs w:val="32"/>
          <w:shd w:val="clear" w:fill="FFFFFF"/>
          <w:lang w:val="en-US" w:eastAsia="zh-CN"/>
        </w:rPr>
        <w:t>104.35</w:t>
      </w:r>
      <w:r>
        <w:rPr>
          <w:rFonts w:hint="eastAsia" w:ascii="仿宋" w:hAnsi="仿宋" w:eastAsia="仿宋" w:cs="仿宋"/>
          <w:i w:val="0"/>
          <w:iCs w:val="0"/>
          <w:caps w:val="0"/>
          <w:color w:val="auto"/>
          <w:spacing w:val="0"/>
          <w:sz w:val="32"/>
          <w:szCs w:val="32"/>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一般公共服务支出上年结余0万元，支出230.53万元，其中民主党派及工商联事务支出230.53万元，此项目上年结余0万元.（其中：行政运行支出187.53万元；一般行政管理事务支出43万元）。社会保障和就业支出13.39万元；城乡社区支出3万元</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1、一般公共服务支出（类）民主党派及工商联事务（款）行政运行（项）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年初预算为186.96万元，实际拨付189.59</w:t>
      </w:r>
      <w:r>
        <w:rPr>
          <w:rFonts w:hint="eastAsia" w:ascii="仿宋" w:hAnsi="仿宋" w:eastAsia="仿宋" w:cs="仿宋"/>
          <w:i w:val="0"/>
          <w:iCs w:val="0"/>
          <w:caps w:val="0"/>
          <w:color w:val="auto"/>
          <w:spacing w:val="0"/>
          <w:sz w:val="32"/>
          <w:szCs w:val="32"/>
          <w:highlight w:val="none"/>
          <w:shd w:val="clear" w:fill="FFFFFF"/>
          <w:lang w:val="en-US" w:eastAsia="zh-CN"/>
        </w:rPr>
        <w:t>万元</w:t>
      </w:r>
      <w:r>
        <w:rPr>
          <w:rFonts w:hint="eastAsia" w:ascii="仿宋" w:hAnsi="仿宋" w:eastAsia="仿宋" w:cs="仿宋"/>
          <w:i w:val="0"/>
          <w:iCs w:val="0"/>
          <w:caps w:val="0"/>
          <w:color w:val="auto"/>
          <w:spacing w:val="0"/>
          <w:sz w:val="32"/>
          <w:szCs w:val="32"/>
          <w:highlight w:val="none"/>
          <w:shd w:val="clear" w:fill="FFFFFF"/>
        </w:rPr>
        <w:t>，支出187.53万元，结余1.86万元，决算数大于年初预算数的主要原因是：结余人员经费1.86万元。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2、一般公共服务支出（类）民主党派及工商联事务（款）一般行政管理事务（项）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年初预算为43万元，支出决算为43万元，完成年初预算的100%，决算数等于年初预算数的主要原因是：项目经费按时间要求推进使用。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3、社会保障和就业支出（类）行政事业单位养老支出（款） 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年初预算为6.11万元，支出决算为4.53万元，完成年初预算的74.14%，决算数小于年初预算数的主要原因是：2020年实际拨付4.53万元，支出4.53万元，主要是实际拨款在2020年全部支付。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4、社会保障和就业支出（类）行政事业单位养老支出（款） 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8.2万元，完成年初预算的0%，决算数大于年初预算数的主要原因是：2019年实际增加机关养老保险费用8.2万元，支出8.2万元，主要是实际拨款的机关养老保险费用在2020年已经全部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年初预算为0万元，支出决算为0.66万元，完成年初预算的0%，决算数大于年初预算数的主要原因是：2020年实际拨付0.66万元，支付0.66万元。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6.城乡社区支出（类）其他城乡社区支出（款）其他城乡社区支出（项）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年初预算为0万元，支出决算为3万元，完成年初预算的0%，决算数大于年初预算数的主要原因是：2020年实际拨付3万元，支付3万元。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年初预算为12.90万元，支出决算为12.88万元，完成年初预算的99.84%，决算数小于年初预算数的主要原因是：住房公积金经费调整，实际拨付12.88万元。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开福区工商业联合会2020年度一般公共预算财政拨款基本支出216.8万元，其中：人员经费192.55万元，占基本支出的88.81%.主要包括基本工资、津贴补贴、奖金、社会保障缴费、其他工资福利支出、住房公积金、其他对个人和家庭的补助支出等；公用经费24.25万元，占基本支出的11.19%.主要包括：办公费、印刷费、邮电费、培训费、公务接待费、劳务费、工会经费、福利费、其他交通费用、其他商品和服务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2020年度“三公”经费财政拨款支出预算为0.1万元，支出决算数为0.67万元，完成预算的</w:t>
      </w:r>
      <w:r>
        <w:rPr>
          <w:rFonts w:hint="eastAsia" w:ascii="仿宋" w:hAnsi="仿宋" w:eastAsia="仿宋" w:cs="仿宋"/>
          <w:i w:val="0"/>
          <w:iCs w:val="0"/>
          <w:caps w:val="0"/>
          <w:color w:val="auto"/>
          <w:spacing w:val="0"/>
          <w:sz w:val="32"/>
          <w:szCs w:val="32"/>
          <w:shd w:val="clear" w:fill="FFFFFF"/>
          <w:lang w:val="en-US" w:eastAsia="zh-CN"/>
        </w:rPr>
        <w:t>670</w:t>
      </w:r>
      <w:r>
        <w:rPr>
          <w:rFonts w:hint="eastAsia" w:ascii="仿宋" w:hAnsi="仿宋" w:eastAsia="仿宋" w:cs="仿宋"/>
          <w:i w:val="0"/>
          <w:iCs w:val="0"/>
          <w:caps w:val="0"/>
          <w:color w:val="auto"/>
          <w:spacing w:val="0"/>
          <w:sz w:val="32"/>
          <w:szCs w:val="32"/>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因公出国（出境）经费支出预算数为0万元，决算为0万元。决算数等于年初预算数的主要原因是：全年未安排此笔费用。与上年相比持平。主要原因是全年未安排此笔费用。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公务接待费支出预算数为0.1万元，决算为0.67万元，完成预算的</w:t>
      </w:r>
      <w:r>
        <w:rPr>
          <w:rFonts w:hint="eastAsia" w:ascii="仿宋" w:hAnsi="仿宋" w:eastAsia="仿宋" w:cs="仿宋"/>
          <w:i w:val="0"/>
          <w:iCs w:val="0"/>
          <w:caps w:val="0"/>
          <w:color w:val="auto"/>
          <w:spacing w:val="0"/>
          <w:sz w:val="32"/>
          <w:szCs w:val="32"/>
          <w:shd w:val="clear" w:fill="FFFFFF"/>
          <w:lang w:val="en-US" w:eastAsia="zh-CN"/>
        </w:rPr>
        <w:t>670</w:t>
      </w:r>
      <w:r>
        <w:rPr>
          <w:rFonts w:hint="eastAsia" w:ascii="仿宋" w:hAnsi="仿宋" w:eastAsia="仿宋" w:cs="仿宋"/>
          <w:i w:val="0"/>
          <w:iCs w:val="0"/>
          <w:caps w:val="0"/>
          <w:color w:val="auto"/>
          <w:spacing w:val="0"/>
          <w:sz w:val="32"/>
          <w:szCs w:val="32"/>
          <w:shd w:val="clear" w:fill="FFFFFF"/>
        </w:rPr>
        <w:t>%。公务接待费支出决算增加的主要原因是外省单位来考察对接。</w:t>
      </w:r>
      <w:r>
        <w:rPr>
          <w:rFonts w:hint="eastAsia" w:ascii="仿宋" w:hAnsi="仿宋" w:eastAsia="仿宋" w:cs="仿宋"/>
          <w:i w:val="0"/>
          <w:iCs w:val="0"/>
          <w:caps w:val="0"/>
          <w:color w:val="auto"/>
          <w:spacing w:val="0"/>
          <w:sz w:val="32"/>
          <w:szCs w:val="32"/>
          <w:shd w:val="clear" w:fill="FFFFFF"/>
          <w:lang w:val="en-US" w:eastAsia="zh-CN"/>
        </w:rPr>
        <w:t>与上年相比增加0.67万元，增长100%，</w:t>
      </w:r>
      <w:r>
        <w:rPr>
          <w:rFonts w:hint="eastAsia" w:ascii="仿宋" w:hAnsi="仿宋" w:eastAsia="仿宋" w:cs="仿宋"/>
          <w:i w:val="0"/>
          <w:iCs w:val="0"/>
          <w:caps w:val="0"/>
          <w:color w:val="auto"/>
          <w:spacing w:val="0"/>
          <w:sz w:val="32"/>
          <w:szCs w:val="32"/>
          <w:shd w:val="clear" w:fill="FFFFFF"/>
        </w:rPr>
        <w:t>主要原因是外省单位来考察对接。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车运行及购置费支出预算数0万元，支出决算为0万元，完成预算的0%。其中：公务用车购置费0万元，更新公务用车0辆。决算数等于年初预算数的主要原因是：本部门没有公务车辆。与上年相比持平。主要原因是：本部门没有公务车辆，全年未安排此笔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支出决算数比2019年增加了0.67万元，上升100%，其中：①因公出国（境）费支出没有发生；②公务用车购置及运行费支出没有发生；原因是贯彻落实中央和国家机关公务用车制度改革精神，我联公务车已上交。③公务接待费支出决算为0.67万元，上升100%。2020年“三公”经费支出决算数等于预算数的主要原因是外省单位来考察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2020年度“三公”经费财政拨款支出决算中，因公出国（境）费支出决算0万元，占0%；公务用车购置及运行费支出决算0万元，占0%；公务接待费支出决算0万元，占0%。具体情况如下：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（1）因公出国（境）费支出决算为0万元，全年安排因公出国（境）团组0个，累计人0次.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（2）公务接待费支出决算0.67万元。全年共接待来访团组2个、来宾67人次（包括陪同人员）。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（3）公务用车购置及运行费支出决算0万元。其中：公务用车购置费0万元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公务用车运行维护费0万元，截至2020年12月31日，我单位开支财政拨款的公务用车保有量为0辆。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本单位无政府性基金收支</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我单位切实加强财政支出管理，提高财政资金使用效益，较好地实现了预期绩效目标。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预算数为43万元，是指单位为完成特定行政工作任务或事业发展目标而发生的支出，其中：编辑《开福商海》杂志经费10万；工商界人士迎春会8万元；工商联教育培训、调研、活动经费15万元，非公企业服务工作经费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完成了一年两期的《开福商海》杂志采编印制发放工作，并通过宣传开福区营商环境、区域民营企业家，促进开福区非公有制经济和非公有制经济人士健康发展。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召开了工商界人士执委会议并进行了评比表彰，加强了非公有制经济人士思想政治工作，增强了工商联的凝聚力、影响力、执行力。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加强了疫情防控工作，助力企业复工复产。积极服务民营企业，2020年被评为长沙市工商联系统优化营商环境工作“先进单位”。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齐分享，利用“3.8”“5.4”组织企业家座谈交流分享，同时适时组织参加经济界大咖的讲座，组织企业家赴优秀企业参观学习。树标杆，区工商联在全会上公开表彰优秀会长、优秀秘书长、青年之星等荣誉称号230人次，极大增强了会员们的荣誉感与进取心。强交流。赴上海、广州、湘西等地区工商联学习，外地驻长商会来长学习交流，进一步增进合作，吸纳更优质商会会员入会。全年引导会员积极参加经济建设，促进区域非公有制经济健康发展，促进地区公益事业发展，在会员与政府之间发挥了桥梁纽带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lang w:val="en-US" w:eastAsia="zh-CN"/>
        </w:rPr>
        <w:t>十、</w:t>
      </w:r>
      <w:r>
        <w:rPr>
          <w:rFonts w:hint="eastAsia" w:ascii="黑体" w:hAnsi="黑体" w:eastAsia="黑体" w:cs="黑体"/>
          <w:color w:val="auto"/>
          <w:sz w:val="32"/>
          <w:szCs w:val="32"/>
        </w:rPr>
        <w:t>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本部门2020年度机关运行经费支出24.25万元，比年初预算数增加2.43万元，上升11.14%。主要原因是：其他交通费用调整0.64万元，工会经费实拨3.21万元，比预算多1.42万元。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15.05万元，用于召开常委会会议、优化营商环境会议、研修班组织会议、调研会议、务虚会议、执委会（2019年执委会部分费用）等，会议有1000余人次参加，内容为党课、工作报告、了解基层商会情况和问题、部署下年度工作等；开支培训费0.7万元，用于开展五四青年节活动、商会负责人等培训，培训有人100余人次，内容为分享创业经验、解读开福区惠企政策。无举办节庆、晚会、论坛、赛事等活动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2.1万元，其中：政府采购货物支出2.1万元、政府采购工程支出0万元、政府采购服务支出0万元。授予中小企业合同金额0万元，占政府采购支出总额的0%，其中：授予小微企业合同金额0万元，占政府采购支出总额的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1、一般公共预算拨款收入：指开福区财政当年拨付的资金。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5、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2020年度开福区工商业联合会部门整体支出绩效评价报告</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192661"/>
    <w:multiLevelType w:val="singleLevel"/>
    <w:tmpl w:val="431926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MjkzYzk1ZDM0NDBhNDQ2OTdjYmExNjUyMGNmMmEifQ=="/>
  </w:docVars>
  <w:rsids>
    <w:rsidRoot w:val="00000000"/>
    <w:rsid w:val="05BC1439"/>
    <w:rsid w:val="0F4B181D"/>
    <w:rsid w:val="35360602"/>
    <w:rsid w:val="36AA44DE"/>
    <w:rsid w:val="425D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5528</Words>
  <Characters>6117</Characters>
  <Lines>0</Lines>
  <Paragraphs>0</Paragraphs>
  <TotalTime>3</TotalTime>
  <ScaleCrop>false</ScaleCrop>
  <LinksUpToDate>false</LinksUpToDate>
  <CharactersWithSpaces>6136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GSL</cp:lastModifiedBy>
  <dcterms:modified xsi:type="dcterms:W3CDTF">2022-08-19T07:46:58Z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6F9B5A1E5BAF495C9EEA8FC2DF90E329</vt:lpwstr>
  </property>
</Properties>
</file>