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方正黑体简体"/>
          <w:color w:val="000000"/>
          <w:sz w:val="32"/>
          <w:szCs w:val="32"/>
        </w:rPr>
      </w:pPr>
      <w:r>
        <w:rPr>
          <w:rFonts w:hint="eastAsia" w:eastAsia="方正黑体简体"/>
          <w:color w:val="000000"/>
          <w:sz w:val="32"/>
          <w:szCs w:val="32"/>
        </w:rPr>
        <w:t>附件</w:t>
      </w:r>
      <w:r>
        <w:rPr>
          <w:rFonts w:eastAsia="方正黑体简体"/>
          <w:color w:val="000000"/>
          <w:sz w:val="32"/>
          <w:szCs w:val="32"/>
        </w:rPr>
        <w:t>1</w:t>
      </w:r>
      <w:r>
        <w:rPr>
          <w:rFonts w:hint="eastAsia" w:eastAsia="方正黑体简体"/>
          <w:color w:val="000000"/>
          <w:sz w:val="32"/>
          <w:szCs w:val="32"/>
        </w:rPr>
        <w:t>：</w:t>
      </w:r>
    </w:p>
    <w:p>
      <w:pPr>
        <w:spacing w:line="600" w:lineRule="exact"/>
        <w:ind w:firstLine="640" w:firstLineChars="200"/>
        <w:rPr>
          <w:rFonts w:eastAsia="方正仿宋简体"/>
          <w:color w:val="000000"/>
          <w:sz w:val="32"/>
          <w:szCs w:val="32"/>
        </w:rPr>
      </w:pPr>
    </w:p>
    <w:p>
      <w:pPr>
        <w:spacing w:line="600" w:lineRule="exact"/>
        <w:jc w:val="center"/>
        <w:rPr>
          <w:rFonts w:hint="eastAsia" w:ascii="方正小标宋简体" w:eastAsia="方正小标宋简体"/>
          <w:color w:val="000000"/>
          <w:sz w:val="42"/>
          <w:szCs w:val="42"/>
        </w:rPr>
      </w:pPr>
      <w:bookmarkStart w:id="0" w:name="_GoBack"/>
      <w:r>
        <w:rPr>
          <w:rFonts w:hint="eastAsia" w:ascii="方正小标宋简体" w:eastAsia="方正小标宋简体"/>
          <w:color w:val="000000"/>
          <w:sz w:val="42"/>
          <w:szCs w:val="42"/>
        </w:rPr>
        <w:t>“安康杯”竞赛考核表</w:t>
      </w:r>
    </w:p>
    <w:bookmarkEnd w:id="0"/>
    <w:p>
      <w:pPr>
        <w:spacing w:line="600" w:lineRule="exact"/>
        <w:ind w:firstLine="640" w:firstLineChars="200"/>
        <w:rPr>
          <w:rFonts w:eastAsia="方正仿宋简体"/>
          <w:color w:val="000000"/>
          <w:sz w:val="32"/>
          <w:szCs w:val="32"/>
        </w:rPr>
      </w:pPr>
    </w:p>
    <w:tbl>
      <w:tblPr>
        <w:tblStyle w:val="4"/>
        <w:tblW w:w="9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022"/>
        <w:gridCol w:w="85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1319" w:type="dxa"/>
            <w:noWrap w:val="0"/>
            <w:tcMar>
              <w:left w:w="28" w:type="dxa"/>
              <w:right w:w="28" w:type="dxa"/>
            </w:tcMar>
            <w:vAlign w:val="center"/>
          </w:tcPr>
          <w:p>
            <w:pPr>
              <w:spacing w:line="320" w:lineRule="exact"/>
              <w:jc w:val="center"/>
              <w:rPr>
                <w:rFonts w:hint="eastAsia" w:ascii="方正黑体简体" w:eastAsia="方正黑体简体"/>
                <w:sz w:val="24"/>
              </w:rPr>
            </w:pPr>
            <w:r>
              <w:rPr>
                <w:rFonts w:hint="eastAsia" w:ascii="方正黑体简体" w:eastAsia="方正黑体简体"/>
                <w:sz w:val="24"/>
              </w:rPr>
              <w:t>考核项目</w:t>
            </w:r>
          </w:p>
        </w:tc>
        <w:tc>
          <w:tcPr>
            <w:tcW w:w="6022" w:type="dxa"/>
            <w:noWrap w:val="0"/>
            <w:tcMar>
              <w:left w:w="28" w:type="dxa"/>
              <w:right w:w="28" w:type="dxa"/>
            </w:tcMar>
            <w:vAlign w:val="center"/>
          </w:tcPr>
          <w:p>
            <w:pPr>
              <w:spacing w:line="320" w:lineRule="exact"/>
              <w:jc w:val="center"/>
              <w:rPr>
                <w:rFonts w:hint="eastAsia" w:ascii="方正黑体简体" w:eastAsia="方正黑体简体"/>
                <w:sz w:val="24"/>
              </w:rPr>
            </w:pPr>
            <w:r>
              <w:rPr>
                <w:rFonts w:hint="eastAsia" w:ascii="方正黑体简体" w:eastAsia="方正黑体简体"/>
                <w:sz w:val="24"/>
              </w:rPr>
              <w:t>考  核  内  容</w:t>
            </w:r>
          </w:p>
        </w:tc>
        <w:tc>
          <w:tcPr>
            <w:tcW w:w="854" w:type="dxa"/>
            <w:noWrap w:val="0"/>
            <w:tcMar>
              <w:left w:w="28" w:type="dxa"/>
              <w:right w:w="28" w:type="dxa"/>
            </w:tcMar>
            <w:vAlign w:val="center"/>
          </w:tcPr>
          <w:p>
            <w:pPr>
              <w:spacing w:line="320" w:lineRule="exact"/>
              <w:jc w:val="center"/>
              <w:rPr>
                <w:rFonts w:hint="eastAsia" w:ascii="方正黑体简体" w:eastAsia="方正黑体简体"/>
                <w:sz w:val="24"/>
              </w:rPr>
            </w:pPr>
            <w:r>
              <w:rPr>
                <w:rFonts w:hint="eastAsia" w:ascii="方正黑体简体" w:eastAsia="方正黑体简体"/>
                <w:sz w:val="24"/>
              </w:rPr>
              <w:t>考评分</w:t>
            </w:r>
          </w:p>
        </w:tc>
        <w:tc>
          <w:tcPr>
            <w:tcW w:w="882" w:type="dxa"/>
            <w:noWrap w:val="0"/>
            <w:tcMar>
              <w:left w:w="28" w:type="dxa"/>
              <w:right w:w="28" w:type="dxa"/>
            </w:tcMar>
            <w:vAlign w:val="center"/>
          </w:tcPr>
          <w:p>
            <w:pPr>
              <w:spacing w:line="320" w:lineRule="exact"/>
              <w:jc w:val="center"/>
              <w:rPr>
                <w:rFonts w:hint="eastAsia" w:ascii="方正黑体简体" w:eastAsia="方正黑体简体"/>
                <w:sz w:val="24"/>
              </w:rPr>
            </w:pPr>
            <w:r>
              <w:rPr>
                <w:rFonts w:hint="eastAsia" w:ascii="方正黑体简体" w:eastAsia="方正黑体简体"/>
                <w:sz w:val="24"/>
              </w:rPr>
              <w:t>评定分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restart"/>
            <w:noWrap w:val="0"/>
            <w:tcMar>
              <w:left w:w="28" w:type="dxa"/>
              <w:right w:w="28" w:type="dxa"/>
            </w:tcMar>
            <w:vAlign w:val="center"/>
          </w:tcPr>
          <w:p>
            <w:pPr>
              <w:spacing w:line="320" w:lineRule="exact"/>
              <w:jc w:val="center"/>
              <w:rPr>
                <w:rFonts w:eastAsia="方正仿宋简体"/>
                <w:sz w:val="24"/>
              </w:rPr>
            </w:pPr>
            <w:r>
              <w:rPr>
                <w:rFonts w:eastAsia="方正仿宋简体"/>
                <w:sz w:val="24"/>
              </w:rPr>
              <w:t>组织领导</w:t>
            </w:r>
          </w:p>
          <w:p>
            <w:pPr>
              <w:spacing w:line="320" w:lineRule="exact"/>
              <w:jc w:val="center"/>
              <w:rPr>
                <w:rFonts w:eastAsia="方正仿宋简体"/>
                <w:sz w:val="24"/>
              </w:rPr>
            </w:pPr>
            <w:r>
              <w:rPr>
                <w:rFonts w:eastAsia="方正仿宋简体"/>
                <w:sz w:val="24"/>
              </w:rPr>
              <w:t>（10分）</w:t>
            </w:r>
          </w:p>
        </w:tc>
        <w:tc>
          <w:tcPr>
            <w:tcW w:w="6022" w:type="dxa"/>
            <w:noWrap w:val="0"/>
            <w:tcMar>
              <w:left w:w="28" w:type="dxa"/>
              <w:right w:w="28" w:type="dxa"/>
            </w:tcMar>
            <w:vAlign w:val="center"/>
          </w:tcPr>
          <w:p>
            <w:pPr>
              <w:spacing w:line="320" w:lineRule="exact"/>
              <w:rPr>
                <w:rFonts w:eastAsia="方正仿宋简体"/>
                <w:sz w:val="24"/>
              </w:rPr>
            </w:pPr>
            <w:r>
              <w:rPr>
                <w:rFonts w:eastAsia="方正仿宋简体"/>
                <w:kern w:val="0"/>
                <w:sz w:val="24"/>
              </w:rPr>
              <w:t>1、竞赛组织机构健全</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eastAsia="方正仿宋简体"/>
                <w:sz w:val="24"/>
              </w:rPr>
            </w:pPr>
            <w:r>
              <w:rPr>
                <w:rFonts w:eastAsia="方正仿宋简体"/>
                <w:kern w:val="0"/>
                <w:sz w:val="24"/>
              </w:rPr>
              <w:t>2、竞赛活动有计划、部署、方案、组织、检查、评比、表彰、奖励</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eastAsia="方正仿宋简体"/>
                <w:sz w:val="24"/>
              </w:rPr>
            </w:pPr>
            <w:r>
              <w:rPr>
                <w:rFonts w:eastAsia="方正仿宋简体"/>
                <w:kern w:val="0"/>
                <w:sz w:val="24"/>
              </w:rPr>
              <w:t>3、班组参赛率达到40%（1分）、70%（1.5分）、100%（2分）</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eastAsia="方正仿宋简体"/>
                <w:sz w:val="24"/>
              </w:rPr>
            </w:pPr>
            <w:r>
              <w:rPr>
                <w:rFonts w:eastAsia="方正仿宋简体"/>
                <w:kern w:val="0"/>
                <w:sz w:val="24"/>
              </w:rPr>
              <w:t>4、单位一把手任“安康杯”竞赛组委会主任</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1</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eastAsia="方正仿宋简体"/>
                <w:sz w:val="24"/>
              </w:rPr>
            </w:pPr>
            <w:r>
              <w:rPr>
                <w:rFonts w:eastAsia="方正仿宋简体"/>
                <w:kern w:val="0"/>
                <w:sz w:val="24"/>
              </w:rPr>
              <w:t>5、电视、报纸、网络等相关媒体对活动的宣传报道不少于1次</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restart"/>
            <w:noWrap w:val="0"/>
            <w:tcMar>
              <w:left w:w="28" w:type="dxa"/>
              <w:right w:w="28" w:type="dxa"/>
            </w:tcMar>
            <w:vAlign w:val="center"/>
          </w:tcPr>
          <w:p>
            <w:pPr>
              <w:spacing w:line="320" w:lineRule="exact"/>
              <w:jc w:val="center"/>
              <w:rPr>
                <w:rFonts w:eastAsia="方正仿宋简体"/>
                <w:sz w:val="24"/>
              </w:rPr>
            </w:pPr>
            <w:r>
              <w:rPr>
                <w:rFonts w:eastAsia="方正仿宋简体"/>
                <w:sz w:val="24"/>
              </w:rPr>
              <w:t>安全管理</w:t>
            </w:r>
          </w:p>
          <w:p>
            <w:pPr>
              <w:spacing w:line="320" w:lineRule="exact"/>
              <w:jc w:val="center"/>
              <w:rPr>
                <w:rFonts w:eastAsia="方正仿宋简体"/>
                <w:sz w:val="24"/>
              </w:rPr>
            </w:pPr>
            <w:r>
              <w:rPr>
                <w:rFonts w:eastAsia="方正仿宋简体"/>
                <w:sz w:val="24"/>
              </w:rPr>
              <w:t>（21分）</w:t>
            </w: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1、安全管理体系健全，有专门的安全与职业卫生管理机构，并按规定配备专、兼职安全人员，有以安全生产责任制为核心的安全生产规章制度，有各个岗位的安全操作规程，并严格落实，安全管理网络完善</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2、将安全工作纳入企业主要议程，进行目标考核，定期或不定期研究、解决安全生产重大问题，安全工作有计划、有目标、有投入、有考核、有检查、有奖惩</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3、严格执行国家安全卫生法律、法规和国家标准、行业标准，工作现场符合国家规定的劳动安全卫生标准；新、改、扩建工程项目中的安全卫生设施严格执行“三同时”的规定</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4、开展经常性的安全卫生检查，不断创新检查方法，对查出的事故隐患分级负责整改，一时无法整改的有应急防范措施，并制定计划进行治理</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5、把劳动安全卫生、女职工和未成年工依法应享有的权利等条款列入平等协商、签订集体合同内容并严格执行</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6、劳动防护用品符合国家标准，配备齐全，并按规定严格定期检查和更新，教育从业人员使用；认真做好夏季防暑降温工作，没有发生中暑等情况</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eastAsia="方正仿宋简体"/>
                <w:sz w:val="24"/>
              </w:rPr>
            </w:pPr>
            <w:r>
              <w:rPr>
                <w:rFonts w:eastAsia="方正仿宋简体"/>
                <w:kern w:val="0"/>
                <w:sz w:val="24"/>
              </w:rPr>
              <w:t>7、各类设备均有严格的维修保养制度，明确责任人，安全装置齐全有效，设备完好率100%；消防设备设施齐全并有专人负责，定期检查和保养</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restart"/>
            <w:noWrap w:val="0"/>
            <w:tcMar>
              <w:left w:w="28" w:type="dxa"/>
              <w:right w:w="28" w:type="dxa"/>
            </w:tcMar>
            <w:vAlign w:val="center"/>
          </w:tcPr>
          <w:p>
            <w:pPr>
              <w:spacing w:line="320" w:lineRule="exact"/>
              <w:jc w:val="center"/>
              <w:rPr>
                <w:rFonts w:eastAsia="方正仿宋简体"/>
                <w:sz w:val="24"/>
              </w:rPr>
            </w:pPr>
            <w:r>
              <w:rPr>
                <w:rFonts w:eastAsia="方正仿宋简体"/>
                <w:sz w:val="24"/>
              </w:rPr>
              <w:t>安全管理</w:t>
            </w:r>
          </w:p>
        </w:tc>
        <w:tc>
          <w:tcPr>
            <w:tcW w:w="6022" w:type="dxa"/>
            <w:noWrap w:val="0"/>
            <w:tcMar>
              <w:left w:w="28" w:type="dxa"/>
              <w:right w:w="28" w:type="dxa"/>
            </w:tcMar>
            <w:vAlign w:val="top"/>
          </w:tcPr>
          <w:p>
            <w:pPr>
              <w:spacing w:line="320" w:lineRule="exact"/>
              <w:rPr>
                <w:rFonts w:hint="eastAsia" w:ascii="方正仿宋简体" w:eastAsia="方正仿宋简体"/>
                <w:sz w:val="24"/>
              </w:rPr>
            </w:pPr>
            <w:r>
              <w:rPr>
                <w:rFonts w:eastAsia="方正仿宋简体"/>
                <w:kern w:val="0"/>
                <w:sz w:val="24"/>
              </w:rPr>
              <w:t>8、</w:t>
            </w:r>
            <w:r>
              <w:rPr>
                <w:rFonts w:hint="eastAsia" w:ascii="方正仿宋简体" w:hAnsi="宋体_x0004_fal" w:eastAsia="方正仿宋简体" w:cs="宋体_x0004_fal"/>
                <w:kern w:val="0"/>
                <w:sz w:val="24"/>
              </w:rPr>
              <w:t>作业场所空气中有毒有害物质浓度在相关国家标准和行业标准控制指标范围内，并进行定期检查和改进</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1</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hint="eastAsia" w:ascii="方正仿宋简体" w:eastAsia="方正仿宋简体"/>
                <w:sz w:val="24"/>
              </w:rPr>
            </w:pPr>
            <w:r>
              <w:rPr>
                <w:rFonts w:eastAsia="方正仿宋简体"/>
                <w:kern w:val="0"/>
                <w:sz w:val="24"/>
              </w:rPr>
              <w:t>9、</w:t>
            </w:r>
            <w:r>
              <w:rPr>
                <w:rFonts w:hint="eastAsia" w:ascii="方正仿宋简体" w:hAnsi="宋体_x0004_fal" w:eastAsia="方正仿宋简体" w:cs="宋体_x0004_fal"/>
                <w:kern w:val="0"/>
                <w:sz w:val="24"/>
              </w:rPr>
              <w:t>特种作业人员持证上岗，高危行业负责人、安全管理人员、班组长和一线操作工人安全生产培训合格，严格</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三级</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安全教育，做到有计划、有记录、有总结</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top"/>
          </w:tcPr>
          <w:p>
            <w:pPr>
              <w:spacing w:line="320" w:lineRule="exact"/>
              <w:jc w:val="center"/>
              <w:rPr>
                <w:rFonts w:eastAsia="方正仿宋简体"/>
                <w:sz w:val="24"/>
              </w:rPr>
            </w:pPr>
          </w:p>
        </w:tc>
        <w:tc>
          <w:tcPr>
            <w:tcW w:w="6022" w:type="dxa"/>
            <w:noWrap w:val="0"/>
            <w:tcMar>
              <w:left w:w="28" w:type="dxa"/>
              <w:right w:w="28" w:type="dxa"/>
            </w:tcMar>
            <w:vAlign w:val="top"/>
          </w:tcPr>
          <w:p>
            <w:pPr>
              <w:spacing w:line="320" w:lineRule="exact"/>
              <w:rPr>
                <w:rFonts w:hint="eastAsia" w:ascii="方正仿宋简体" w:eastAsia="方正仿宋简体"/>
                <w:sz w:val="24"/>
              </w:rPr>
            </w:pPr>
            <w:r>
              <w:rPr>
                <w:rFonts w:eastAsia="方正仿宋简体"/>
                <w:kern w:val="0"/>
                <w:sz w:val="24"/>
              </w:rPr>
              <w:t>10</w:t>
            </w:r>
            <w:r>
              <w:rPr>
                <w:rFonts w:hint="eastAsia" w:ascii="方正仿宋简体" w:hAnsi="宋体_x0004_fal" w:eastAsia="方正仿宋简体" w:cs="宋体_x0004_fal"/>
                <w:kern w:val="0"/>
                <w:sz w:val="24"/>
              </w:rPr>
              <w:t>、积极开展各种形式的安全生产宣传教育活动，教育职工群众自觉遵守安全规章制度，做到无</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三违</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现象，抵制违章指挥和强令冒险作业</w:t>
            </w:r>
          </w:p>
        </w:tc>
        <w:tc>
          <w:tcPr>
            <w:tcW w:w="854" w:type="dxa"/>
            <w:noWrap w:val="0"/>
            <w:tcMar>
              <w:left w:w="28" w:type="dxa"/>
              <w:right w:w="28" w:type="dxa"/>
            </w:tcMar>
            <w:vAlign w:val="center"/>
          </w:tcPr>
          <w:p>
            <w:pPr>
              <w:spacing w:line="320" w:lineRule="exact"/>
              <w:jc w:val="center"/>
              <w:rPr>
                <w:rFonts w:eastAsia="仿宋_GB2312"/>
                <w:sz w:val="24"/>
              </w:rPr>
            </w:pPr>
            <w:r>
              <w:rPr>
                <w:rFonts w:eastAsia="仿宋_GB2312"/>
                <w:kern w:val="0"/>
                <w:sz w:val="24"/>
              </w:rPr>
              <w:t>1</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noWrap w:val="0"/>
            <w:tcMar>
              <w:left w:w="28" w:type="dxa"/>
              <w:right w:w="28" w:type="dxa"/>
            </w:tcMar>
            <w:vAlign w:val="center"/>
          </w:tcPr>
          <w:p>
            <w:pPr>
              <w:spacing w:line="320" w:lineRule="exact"/>
              <w:jc w:val="center"/>
              <w:rPr>
                <w:rFonts w:eastAsia="方正仿宋简体"/>
                <w:spacing w:val="-20"/>
                <w:sz w:val="24"/>
              </w:rPr>
            </w:pPr>
            <w:r>
              <w:rPr>
                <w:rFonts w:eastAsia="方正仿宋简体"/>
                <w:spacing w:val="-20"/>
                <w:sz w:val="24"/>
              </w:rPr>
              <w:t>安全生产月</w:t>
            </w:r>
          </w:p>
          <w:p>
            <w:pPr>
              <w:spacing w:line="320" w:lineRule="exact"/>
              <w:jc w:val="center"/>
              <w:rPr>
                <w:rFonts w:eastAsia="方正仿宋简体"/>
                <w:spacing w:val="-20"/>
                <w:sz w:val="24"/>
              </w:rPr>
            </w:pPr>
            <w:r>
              <w:rPr>
                <w:rFonts w:eastAsia="方正仿宋简体"/>
                <w:spacing w:val="-20"/>
                <w:sz w:val="24"/>
              </w:rPr>
              <w:t>（10分）</w:t>
            </w: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hint="eastAsia" w:ascii="方正仿宋简体" w:hAnsi="宋体_x0004_fal" w:eastAsia="方正仿宋简体" w:cs="宋体_x0004_fal"/>
                <w:kern w:val="0"/>
                <w:sz w:val="24"/>
              </w:rPr>
              <w:t>积极参加全国和省、市</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安全生产月</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活动，积极探索实施群众性安康工程，扎实开展安全生产宣传教育和培训工作。</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10</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restart"/>
            <w:noWrap w:val="0"/>
            <w:tcMar>
              <w:left w:w="28" w:type="dxa"/>
              <w:right w:w="28" w:type="dxa"/>
            </w:tcMar>
            <w:vAlign w:val="center"/>
          </w:tcPr>
          <w:p>
            <w:pPr>
              <w:spacing w:line="320" w:lineRule="exact"/>
              <w:jc w:val="center"/>
              <w:rPr>
                <w:rFonts w:eastAsia="方正仿宋简体"/>
                <w:sz w:val="24"/>
              </w:rPr>
            </w:pPr>
            <w:r>
              <w:rPr>
                <w:rFonts w:eastAsia="方正仿宋简体"/>
                <w:sz w:val="24"/>
              </w:rPr>
              <w:t>积极参加各项活动</w:t>
            </w:r>
          </w:p>
          <w:p>
            <w:pPr>
              <w:spacing w:line="320" w:lineRule="exact"/>
              <w:jc w:val="center"/>
              <w:rPr>
                <w:rFonts w:eastAsia="方正仿宋简体"/>
                <w:sz w:val="24"/>
              </w:rPr>
            </w:pPr>
            <w:r>
              <w:rPr>
                <w:rFonts w:eastAsia="方正仿宋简体"/>
                <w:sz w:val="24"/>
              </w:rPr>
              <w:t>（13分）</w:t>
            </w: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1、</w:t>
            </w:r>
            <w:r>
              <w:rPr>
                <w:rFonts w:hint="eastAsia" w:ascii="方正仿宋简体" w:hAnsi="宋体_x0004_fal" w:eastAsia="方正仿宋简体" w:cs="宋体_x0004_fal"/>
                <w:kern w:val="0"/>
                <w:sz w:val="24"/>
              </w:rPr>
              <w:t>积极组织开展</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十个一</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活动</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2、</w:t>
            </w:r>
            <w:r>
              <w:rPr>
                <w:rFonts w:hint="eastAsia" w:ascii="方正仿宋简体" w:hAnsi="宋体_x0004_fal" w:eastAsia="方正仿宋简体" w:cs="宋体_x0004_fal"/>
                <w:kern w:val="0"/>
                <w:sz w:val="24"/>
              </w:rPr>
              <w:t>创新形式，丰富内容，积极组织开展</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安康知识进万家</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普及教育活动</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5</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3、</w:t>
            </w:r>
            <w:r>
              <w:rPr>
                <w:rFonts w:hint="eastAsia" w:ascii="方正仿宋简体" w:hAnsi="宋体_x0004_fal" w:eastAsia="方正仿宋简体" w:cs="宋体_x0004_fal"/>
                <w:kern w:val="0"/>
                <w:sz w:val="24"/>
              </w:rPr>
              <w:t>积极参加上级</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安康杯</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竞赛组织机构组织开展的各类安全生产宣传教育活动</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4、</w:t>
            </w:r>
            <w:r>
              <w:rPr>
                <w:rFonts w:hint="eastAsia" w:ascii="方正仿宋简体" w:hAnsi="宋体_x0004_fal" w:eastAsia="方正仿宋简体" w:cs="宋体_x0004_fal"/>
                <w:kern w:val="0"/>
                <w:sz w:val="24"/>
              </w:rPr>
              <w:t>重视</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安康杯</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竞赛信息化建设，开辟</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安康杯</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竞赛网站信息专栏，加强</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安康杯</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竞赛活动信息报送工作</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restart"/>
            <w:noWrap w:val="0"/>
            <w:tcMar>
              <w:left w:w="28" w:type="dxa"/>
              <w:right w:w="28" w:type="dxa"/>
            </w:tcMar>
            <w:vAlign w:val="center"/>
          </w:tcPr>
          <w:p>
            <w:pPr>
              <w:spacing w:line="320" w:lineRule="exact"/>
              <w:jc w:val="center"/>
              <w:rPr>
                <w:rFonts w:eastAsia="方正仿宋简体"/>
                <w:sz w:val="24"/>
              </w:rPr>
            </w:pPr>
            <w:r>
              <w:rPr>
                <w:rFonts w:eastAsia="方正仿宋简体"/>
                <w:sz w:val="24"/>
              </w:rPr>
              <w:t>群众监督</w:t>
            </w:r>
          </w:p>
          <w:p>
            <w:pPr>
              <w:spacing w:line="320" w:lineRule="exact"/>
              <w:jc w:val="center"/>
              <w:rPr>
                <w:rFonts w:eastAsia="方正仿宋简体"/>
                <w:sz w:val="24"/>
              </w:rPr>
            </w:pPr>
            <w:r>
              <w:rPr>
                <w:rFonts w:eastAsia="方正仿宋简体"/>
                <w:sz w:val="24"/>
              </w:rPr>
              <w:t>（16分）</w:t>
            </w: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1、</w:t>
            </w:r>
            <w:r>
              <w:rPr>
                <w:rFonts w:hint="eastAsia" w:ascii="方正仿宋简体" w:hAnsi="宋体_x0004_fal" w:eastAsia="方正仿宋简体" w:cs="宋体_x0004_fal"/>
                <w:kern w:val="0"/>
                <w:sz w:val="24"/>
              </w:rPr>
              <w:t>按照全总劳动保护监督检查</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三个条例</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的要求，健全三级工会劳动保护监督检查网络，加强工会劳动保护监督检查员考核及管理</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2、</w:t>
            </w:r>
            <w:r>
              <w:rPr>
                <w:rFonts w:hint="eastAsia" w:ascii="方正仿宋简体" w:hAnsi="宋体_x0004_fal" w:eastAsia="方正仿宋简体" w:cs="宋体_x0004_fal"/>
                <w:kern w:val="0"/>
                <w:sz w:val="24"/>
              </w:rPr>
              <w:t>发动职工群众开展群众性劳动保护监督检查，及时发现和报告生产安全和职业卫生隐患，督促整改</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3</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3、</w:t>
            </w:r>
            <w:r>
              <w:rPr>
                <w:rFonts w:hint="eastAsia" w:ascii="方正仿宋简体" w:hAnsi="宋体_x0004_fal" w:eastAsia="方正仿宋简体" w:cs="宋体_x0004_fal"/>
                <w:kern w:val="0"/>
                <w:sz w:val="24"/>
              </w:rPr>
              <w:t>加强班组安全建设，重视班组现场安全管理</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4、</w:t>
            </w:r>
            <w:r>
              <w:rPr>
                <w:rFonts w:hint="eastAsia" w:ascii="方正仿宋简体" w:hAnsi="宋体_x0004_fal" w:eastAsia="方正仿宋简体" w:cs="宋体_x0004_fal"/>
                <w:kern w:val="0"/>
                <w:sz w:val="24"/>
              </w:rPr>
              <w:t>重视职工身体健康，职业危害作业人员定期组织体检并建档</w:t>
            </w:r>
            <w:r>
              <w:rPr>
                <w:rFonts w:eastAsia="方正仿宋简体"/>
                <w:kern w:val="0"/>
                <w:sz w:val="24"/>
              </w:rPr>
              <w:t>（1分）；积极配合有关部门开展安全生产宣传教育活动（2分）；重视女职工劳动保护（1分）</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4</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5</w:t>
            </w:r>
            <w:r>
              <w:rPr>
                <w:rFonts w:hint="eastAsia" w:ascii="方正仿宋简体" w:hAnsi="宋体_x0004_fal" w:eastAsia="方正仿宋简体" w:cs="宋体_x0004_fal"/>
                <w:kern w:val="0"/>
                <w:sz w:val="24"/>
              </w:rPr>
              <w:t>、重视职业病防治工作，积极推广应用《工会主动参与职业病防治工作模式》</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6</w:t>
            </w:r>
            <w:r>
              <w:rPr>
                <w:rFonts w:hint="eastAsia" w:ascii="方正仿宋简体" w:hAnsi="宋体_x0004_fal" w:eastAsia="方正仿宋简体" w:cs="宋体_x0004_fal"/>
                <w:kern w:val="0"/>
                <w:sz w:val="24"/>
              </w:rPr>
              <w:t>、全面推行</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一法三卡</w:t>
            </w:r>
            <w:r>
              <w:rPr>
                <w:rFonts w:hint="eastAsia" w:ascii="方正仿宋简体" w:eastAsia="方正仿宋简体"/>
                <w:kern w:val="0"/>
                <w:sz w:val="24"/>
              </w:rPr>
              <w:t>”</w:t>
            </w:r>
            <w:r>
              <w:rPr>
                <w:rFonts w:hint="eastAsia" w:ascii="方正仿宋简体" w:hAnsi="宋体_x0004_fal" w:eastAsia="方正仿宋简体" w:cs="宋体_x0004_fal"/>
                <w:kern w:val="0"/>
                <w:sz w:val="24"/>
              </w:rPr>
              <w:t>应用</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2</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restart"/>
            <w:noWrap w:val="0"/>
            <w:tcMar>
              <w:left w:w="28" w:type="dxa"/>
              <w:right w:w="28" w:type="dxa"/>
            </w:tcMar>
            <w:vAlign w:val="center"/>
          </w:tcPr>
          <w:p>
            <w:pPr>
              <w:spacing w:line="320" w:lineRule="exact"/>
              <w:jc w:val="center"/>
              <w:rPr>
                <w:rFonts w:eastAsia="方正仿宋简体"/>
                <w:sz w:val="24"/>
              </w:rPr>
            </w:pPr>
            <w:r>
              <w:rPr>
                <w:rFonts w:eastAsia="方正仿宋简体"/>
                <w:sz w:val="24"/>
              </w:rPr>
              <w:t>事故控制</w:t>
            </w:r>
          </w:p>
          <w:p>
            <w:pPr>
              <w:spacing w:line="320" w:lineRule="exact"/>
              <w:jc w:val="center"/>
              <w:rPr>
                <w:rFonts w:eastAsia="方正仿宋简体"/>
                <w:sz w:val="24"/>
              </w:rPr>
            </w:pPr>
            <w:r>
              <w:rPr>
                <w:rFonts w:eastAsia="方正仿宋简体"/>
                <w:sz w:val="24"/>
              </w:rPr>
              <w:t>（30分）</w:t>
            </w: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1</w:t>
            </w:r>
            <w:r>
              <w:rPr>
                <w:rFonts w:hint="eastAsia" w:ascii="方正仿宋简体" w:hAnsi="宋体_x0004_fal" w:eastAsia="方正仿宋简体" w:cs="宋体_x0004_fal"/>
                <w:kern w:val="0"/>
                <w:sz w:val="24"/>
              </w:rPr>
              <w:t>、煤炭行业：各项伤亡事故及职业危害指标低于控制指标或行业控制指标；其他行业：无死亡事故发生</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20</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eastAsia="方正仿宋简体"/>
                <w:kern w:val="0"/>
                <w:sz w:val="24"/>
              </w:rPr>
              <w:t>2</w:t>
            </w:r>
            <w:r>
              <w:rPr>
                <w:rFonts w:hint="eastAsia" w:ascii="方正仿宋简体" w:hAnsi="宋体_x0004_fal" w:eastAsia="方正仿宋简体" w:cs="宋体_x0004_fal"/>
                <w:kern w:val="0"/>
                <w:sz w:val="24"/>
              </w:rPr>
              <w:t>、未发生重大消防事故</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5</w:t>
            </w:r>
          </w:p>
        </w:tc>
        <w:tc>
          <w:tcPr>
            <w:tcW w:w="882" w:type="dxa"/>
            <w:noWrap w:val="0"/>
            <w:tcMar>
              <w:left w:w="28" w:type="dxa"/>
              <w:right w:w="28" w:type="dxa"/>
            </w:tcMar>
            <w:vAlign w:val="center"/>
          </w:tcPr>
          <w:p>
            <w:pPr>
              <w:spacing w:line="320" w:lineRule="exac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19" w:type="dxa"/>
            <w:vMerge w:val="continue"/>
            <w:noWrap w:val="0"/>
            <w:tcMar>
              <w:left w:w="28" w:type="dxa"/>
              <w:right w:w="28" w:type="dxa"/>
            </w:tcMar>
            <w:vAlign w:val="center"/>
          </w:tcPr>
          <w:p>
            <w:pPr>
              <w:spacing w:line="320" w:lineRule="exact"/>
              <w:jc w:val="center"/>
              <w:rPr>
                <w:rFonts w:eastAsia="方正仿宋简体"/>
                <w:sz w:val="24"/>
              </w:rPr>
            </w:pPr>
          </w:p>
        </w:tc>
        <w:tc>
          <w:tcPr>
            <w:tcW w:w="6022" w:type="dxa"/>
            <w:noWrap w:val="0"/>
            <w:tcMar>
              <w:left w:w="28" w:type="dxa"/>
              <w:right w:w="28" w:type="dxa"/>
            </w:tcMar>
            <w:vAlign w:val="center"/>
          </w:tcPr>
          <w:p>
            <w:pPr>
              <w:spacing w:line="320" w:lineRule="exact"/>
              <w:rPr>
                <w:rFonts w:hint="eastAsia" w:ascii="方正仿宋简体" w:eastAsia="方正仿宋简体"/>
                <w:sz w:val="24"/>
              </w:rPr>
            </w:pPr>
            <w:r>
              <w:rPr>
                <w:rFonts w:hint="eastAsia" w:ascii="方正仿宋简体" w:eastAsia="方正仿宋简体"/>
                <w:kern w:val="0"/>
                <w:sz w:val="24"/>
              </w:rPr>
              <w:t>3</w:t>
            </w:r>
            <w:r>
              <w:rPr>
                <w:rFonts w:hint="eastAsia" w:ascii="方正仿宋简体" w:hAnsi="宋体_x0004_fal" w:eastAsia="方正仿宋简体" w:cs="宋体_x0004_fal"/>
                <w:kern w:val="0"/>
                <w:sz w:val="24"/>
              </w:rPr>
              <w:t>、未发生重大交通事故</w:t>
            </w:r>
          </w:p>
        </w:tc>
        <w:tc>
          <w:tcPr>
            <w:tcW w:w="854" w:type="dxa"/>
            <w:noWrap w:val="0"/>
            <w:tcMar>
              <w:left w:w="28" w:type="dxa"/>
              <w:right w:w="28" w:type="dxa"/>
            </w:tcMar>
            <w:vAlign w:val="center"/>
          </w:tcPr>
          <w:p>
            <w:pPr>
              <w:jc w:val="center"/>
              <w:rPr>
                <w:rFonts w:eastAsia="仿宋_GB2312"/>
                <w:sz w:val="24"/>
              </w:rPr>
            </w:pPr>
            <w:r>
              <w:rPr>
                <w:rFonts w:eastAsia="仿宋_GB2312"/>
                <w:kern w:val="0"/>
                <w:sz w:val="24"/>
              </w:rPr>
              <w:t>5</w:t>
            </w:r>
          </w:p>
        </w:tc>
        <w:tc>
          <w:tcPr>
            <w:tcW w:w="882" w:type="dxa"/>
            <w:noWrap w:val="0"/>
            <w:tcMar>
              <w:left w:w="28" w:type="dxa"/>
              <w:right w:w="28" w:type="dxa"/>
            </w:tcMar>
            <w:vAlign w:val="center"/>
          </w:tcPr>
          <w:p>
            <w:pPr>
              <w:spacing w:line="320" w:lineRule="exact"/>
              <w:jc w:val="center"/>
              <w:rPr>
                <w:rFonts w:eastAsia="方正仿宋简体"/>
                <w:sz w:val="24"/>
              </w:rPr>
            </w:pPr>
          </w:p>
        </w:tc>
      </w:tr>
    </w:tbl>
    <w:p>
      <w:pPr>
        <w:spacing w:line="560" w:lineRule="exact"/>
        <w:ind w:firstLine="600" w:firstLineChars="200"/>
        <w:rPr>
          <w:rFonts w:hint="eastAsia" w:ascii="仿宋_GB2312" w:hAnsi="仿宋_GB2312" w:eastAsia="仿宋_GB2312" w:cs="仿宋_GB2312"/>
          <w:color w:val="000000"/>
          <w:sz w:val="30"/>
          <w:szCs w:val="30"/>
        </w:rPr>
      </w:pPr>
    </w:p>
    <w:p>
      <w:pPr>
        <w:spacing w:line="560" w:lineRule="exact"/>
        <w:rPr>
          <w:rFonts w:ascii="仿宋_GB2312" w:hAnsi="仿宋_GB2312" w:eastAsia="仿宋_GB2312" w:cs="仿宋_GB2312"/>
          <w:color w:val="000000"/>
          <w:sz w:val="30"/>
          <w:szCs w:val="30"/>
        </w:rPr>
        <w:sectPr>
          <w:footerReference r:id="rId3" w:type="default"/>
          <w:pgSz w:w="11906" w:h="16838"/>
          <w:pgMar w:top="1418" w:right="1531" w:bottom="1418" w:left="1531" w:header="851" w:footer="1418"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_x0004_fal">
    <w:altName w:val="@宋体"/>
    <w:panose1 w:val="02010600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866E4"/>
    <w:rsid w:val="27D86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2019-07-26T08:36:00Z</dcterms:created>
  <dc:creator>叶子</dc:creator>
  <cp:lastModifiedBy>叶子</cp:lastModifiedBy>
  <dcterms:modified xsi:type="dcterms:W3CDTF">2019-07-26T08:36:59Z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