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eastAsia="楷体_GB2312"/>
          <w:bCs/>
          <w:color w:val="auto"/>
          <w:kern w:val="0"/>
          <w:sz w:val="48"/>
          <w:szCs w:val="48"/>
        </w:rPr>
      </w:pPr>
      <w:r>
        <w:rPr>
          <w:rFonts w:hint="eastAsia" w:ascii="仿宋" w:hAnsi="仿宋" w:eastAsia="仿宋" w:cs="仿宋"/>
          <w:b/>
          <w:bCs/>
          <w:color w:val="auto"/>
          <w:kern w:val="0"/>
          <w:sz w:val="48"/>
          <w:szCs w:val="48"/>
        </w:rPr>
        <w:t>2021年长沙市开福区月湖街道部门预算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color w:val="auto"/>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color w:val="auto"/>
          <w:sz w:val="32"/>
          <w:szCs w:val="32"/>
        </w:rPr>
      </w:pPr>
      <w:r>
        <w:rPr>
          <w:rFonts w:hint="eastAsia" w:ascii="仿宋" w:hAnsi="仿宋" w:eastAsia="仿宋" w:cs="仿宋"/>
          <w:color w:val="auto"/>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color w:val="auto"/>
          <w:kern w:val="0"/>
          <w:sz w:val="36"/>
          <w:szCs w:val="36"/>
        </w:rPr>
      </w:pPr>
      <w:r>
        <w:rPr>
          <w:rFonts w:hint="eastAsia" w:ascii="黑体" w:hAnsi="黑体" w:eastAsia="黑体" w:cs="黑体"/>
          <w:b/>
          <w:color w:val="auto"/>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rPr>
      </w:pPr>
      <w:r>
        <w:rPr>
          <w:rFonts w:eastAsia="黑体"/>
          <w:bCs/>
          <w:color w:val="auto"/>
          <w:kern w:val="0"/>
          <w:sz w:val="32"/>
          <w:szCs w:val="32"/>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（一）职能职责。</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bookmarkStart w:id="0" w:name="_GoBack"/>
      <w:bookmarkEnd w:id="0"/>
      <w:r>
        <w:rPr>
          <w:rFonts w:hint="eastAsia" w:ascii="仿宋" w:hAnsi="仿宋" w:eastAsia="仿宋" w:cs="仿宋"/>
          <w:bCs/>
          <w:color w:val="auto"/>
          <w:sz w:val="32"/>
          <w:szCs w:val="32"/>
        </w:rPr>
        <w:t>1）贯彻执行国家法律、法规、规章和市、区人民政府的决定、命令、指示，完成市、区人民政府部署的各项任务；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2）负责居民区、街巷的环境卫生和绿化美化的管理工作，组织辖区单位和居民开展爱国卫生运动，落实门前五包责任制；</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3）组织和监督对违法建筑、违法占用道路、无照经营以及违反市容环境卫生、绿化管理规定行为的查处工作；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4）配合市、区环境保护部门监督环境污染项目的治理；</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5）负责本辖区村的拆迁和安置工作。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6）协同建设主管部门监督施工单位依法施工，防治施工扬尘、扰民；配合建设单位、施工单位做好居民工作，维护施工秩序；</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7）对居住小区的物业管理进行指导和监督检查；</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8）组织辖区单位和居民开展多种形式的社会主义精神文明创建活动；</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9）制定本辖区社会治安综合治理规划，并组织落实；</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10）负责本辖区外来人口的综合管理和地区交通安全工作；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11）负责计划生育、统计、红十字会、信访、人民调解工作；协调有关部门做好劳动就业工作；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12）负责本辖区拥军优属、民兵预备役、征兵、人民防空等工作；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13）维护老年人、妇女、未成年人和残疾人的合法权益；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14）制定社区建设、社区服务发展规划，发展社区服务设施，合理配置社区服务资源；</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15）组建社区服务志愿者队伍，动员本辖区单位和居民兴办社区服务事业；</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16）兴办社会福利事业，做好社会救助、社会保险等社会保障工作；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17）指导社区居委会工作，及时向上级政府反映居民的意见和要求；</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18）对居民进行法制和社会公德教育，组织居民参与社区环境整治等社会公益活动；</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19）组织开展群众文化、体育活动和社区教育、卫生工作，普及科学常识；</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20）承办区政府交办的其他事项。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rPr>
      </w:pPr>
      <w:r>
        <w:rPr>
          <w:rFonts w:hint="eastAsia" w:ascii="仿宋" w:hAnsi="仿宋" w:eastAsia="仿宋" w:cs="仿宋"/>
          <w:b/>
          <w:color w:val="auto"/>
          <w:sz w:val="32"/>
          <w:szCs w:val="32"/>
        </w:rPr>
        <w:t>（二）机构设置。</w:t>
      </w:r>
      <w:r>
        <w:rPr>
          <w:rFonts w:hint="eastAsia" w:ascii="仿宋" w:hAnsi="仿宋" w:eastAsia="仿宋" w:cs="仿宋"/>
          <w:bCs/>
          <w:color w:val="auto"/>
          <w:sz w:val="32"/>
          <w:szCs w:val="32"/>
        </w:rPr>
        <w:t>2020年月湖街道按照上级要求，根据街道新的职能定位和“优化、协同、高效”原则，统筹优化街道机构设置，构建服务便民、简约精干的基层组织架构。</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设置5个党政机构：党政综合办公室、基层党建办公室、城市管理办公室（加挂区域建设服务办公室）、公共服务办公室（加挂行政审批服务办公室、优化营商环境服务办公室、退役军人服务站牌子）、公共安全办公室。</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2.设置1个执法机构：综合行政执法队。</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3.设置 2个街道所属事业单位：街道政务服务中心（街道党群服务中心）、街道网格化综合服务中心。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4.其他：街道财政所、街道劳动社会保障和最低生活保障管理服务站。</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以上机构全部纳入2021年预算范围。</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二级机构包括朝正水利所，未纳入街道预算范围。</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部门编制数 44 人，在职人数 51人，其中：在岗人数  51人；编外长期聘用人员 10 人；离退休人数 6人，其中离休人员0人，退休人员 6人。全部纳入2021年预算范围。</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color w:val="auto"/>
          <w:kern w:val="0"/>
          <w:sz w:val="32"/>
          <w:szCs w:val="32"/>
        </w:rPr>
      </w:pPr>
      <w:r>
        <w:rPr>
          <w:rFonts w:eastAsia="黑体"/>
          <w:color w:val="auto"/>
          <w:kern w:val="0"/>
          <w:sz w:val="32"/>
          <w:szCs w:val="32"/>
        </w:rPr>
        <w:t>二、部门预算单位构成</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月湖街道只有本级，没有其他二级预算单位，因此，纳入2021年部门预算编制范围的只有月湖街道部门本级。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rPr>
      </w:pPr>
      <w:r>
        <w:rPr>
          <w:rFonts w:hint="eastAsia" w:eastAsia="黑体"/>
          <w:bCs/>
          <w:color w:val="auto"/>
          <w:kern w:val="0"/>
          <w:sz w:val="32"/>
          <w:szCs w:val="32"/>
        </w:rPr>
        <w:t>三、</w:t>
      </w:r>
      <w:r>
        <w:rPr>
          <w:rFonts w:eastAsia="黑体"/>
          <w:bCs/>
          <w:color w:val="auto"/>
          <w:kern w:val="0"/>
          <w:sz w:val="32"/>
          <w:szCs w:val="32"/>
        </w:rPr>
        <w:t>部门收支总体情况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2021年部门预算包括本级预算和所属单位预算在内的汇总情况。收入既包括一般公共预算收入、政府性基金收入和国有资本经营预算收入，又包括事业单位经营服务、其他收入等收入；支出既包括街道基本运行的经费，也包括上级项目的专项经费，还有其他支出等。</w:t>
      </w:r>
    </w:p>
    <w:p>
      <w:pPr>
        <w:keepNext w:val="0"/>
        <w:keepLines w:val="0"/>
        <w:pageBreakBefore w:val="0"/>
        <w:widowControl/>
        <w:kinsoku/>
        <w:wordWrap/>
        <w:overflowPunct/>
        <w:topLinePunct w:val="0"/>
        <w:autoSpaceDE/>
        <w:autoSpaceDN/>
        <w:bidi w:val="0"/>
        <w:adjustRightInd/>
        <w:snapToGrid/>
        <w:spacing w:line="600" w:lineRule="exact"/>
        <w:ind w:firstLine="630" w:firstLineChars="196"/>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rPr>
        <w:t>（一）收入预算：</w:t>
      </w:r>
      <w:r>
        <w:rPr>
          <w:rFonts w:hint="eastAsia" w:ascii="仿宋" w:hAnsi="仿宋" w:eastAsia="仿宋" w:cs="仿宋"/>
          <w:color w:val="auto"/>
          <w:sz w:val="32"/>
          <w:szCs w:val="32"/>
        </w:rPr>
        <w:t>2021年本部门收入预算</w:t>
      </w:r>
      <w:r>
        <w:rPr>
          <w:rFonts w:ascii="仿宋" w:hAnsi="仿宋" w:eastAsia="仿宋" w:cs="仿宋"/>
          <w:color w:val="auto"/>
          <w:sz w:val="32"/>
          <w:szCs w:val="32"/>
        </w:rPr>
        <w:t>3136.22</w:t>
      </w:r>
      <w:r>
        <w:rPr>
          <w:rFonts w:hint="eastAsia" w:ascii="仿宋" w:hAnsi="仿宋" w:eastAsia="仿宋" w:cs="仿宋"/>
          <w:color w:val="auto"/>
          <w:sz w:val="32"/>
          <w:szCs w:val="32"/>
        </w:rPr>
        <w:t>万元，其中：</w:t>
      </w:r>
      <w:r>
        <w:rPr>
          <w:rFonts w:hint="eastAsia" w:ascii="仿宋" w:hAnsi="仿宋" w:eastAsia="仿宋" w:cs="仿宋"/>
          <w:color w:val="auto"/>
          <w:sz w:val="32"/>
          <w:szCs w:val="32"/>
          <w:lang w:val="en-US" w:eastAsia="zh-CN"/>
        </w:rPr>
        <w:t>一般公共预算拨款</w:t>
      </w:r>
      <w:r>
        <w:rPr>
          <w:rFonts w:hint="eastAsia" w:ascii="仿宋" w:hAnsi="仿宋" w:eastAsia="仿宋" w:cs="仿宋"/>
          <w:color w:val="auto"/>
          <w:sz w:val="32"/>
          <w:szCs w:val="32"/>
        </w:rPr>
        <w:t>2</w:t>
      </w:r>
      <w:r>
        <w:rPr>
          <w:rFonts w:ascii="仿宋" w:hAnsi="仿宋" w:eastAsia="仿宋" w:cs="仿宋"/>
          <w:color w:val="auto"/>
          <w:sz w:val="32"/>
          <w:szCs w:val="32"/>
        </w:rPr>
        <w:t>283.46</w:t>
      </w:r>
      <w:r>
        <w:rPr>
          <w:rFonts w:hint="eastAsia" w:ascii="仿宋" w:hAnsi="仿宋" w:eastAsia="仿宋" w:cs="仿宋"/>
          <w:color w:val="auto"/>
          <w:sz w:val="32"/>
          <w:szCs w:val="32"/>
        </w:rPr>
        <w:t>万元，其他收入8</w:t>
      </w:r>
      <w:r>
        <w:rPr>
          <w:rFonts w:ascii="仿宋" w:hAnsi="仿宋" w:eastAsia="仿宋" w:cs="仿宋"/>
          <w:color w:val="auto"/>
          <w:sz w:val="32"/>
          <w:szCs w:val="32"/>
        </w:rPr>
        <w:t>21.76</w:t>
      </w:r>
      <w:r>
        <w:rPr>
          <w:rFonts w:hint="eastAsia" w:ascii="仿宋" w:hAnsi="仿宋" w:eastAsia="仿宋" w:cs="仿宋"/>
          <w:color w:val="auto"/>
          <w:sz w:val="32"/>
          <w:szCs w:val="32"/>
        </w:rPr>
        <w:t>万元，上年结转结余</w:t>
      </w:r>
      <w:r>
        <w:rPr>
          <w:rFonts w:ascii="仿宋" w:hAnsi="仿宋" w:eastAsia="仿宋" w:cs="仿宋"/>
          <w:color w:val="auto"/>
          <w:sz w:val="32"/>
          <w:szCs w:val="32"/>
        </w:rPr>
        <w:t>31</w:t>
      </w:r>
      <w:r>
        <w:rPr>
          <w:rFonts w:hint="eastAsia" w:ascii="仿宋" w:hAnsi="仿宋" w:eastAsia="仿宋" w:cs="仿宋"/>
          <w:color w:val="auto"/>
          <w:sz w:val="32"/>
          <w:szCs w:val="32"/>
        </w:rPr>
        <w:t>万元。收入较去年增加5</w:t>
      </w:r>
      <w:r>
        <w:rPr>
          <w:rFonts w:ascii="仿宋" w:hAnsi="仿宋" w:eastAsia="仿宋" w:cs="仿宋"/>
          <w:color w:val="auto"/>
          <w:sz w:val="32"/>
          <w:szCs w:val="32"/>
        </w:rPr>
        <w:t>42.02</w:t>
      </w:r>
      <w:r>
        <w:rPr>
          <w:rFonts w:hint="eastAsia" w:ascii="仿宋" w:hAnsi="仿宋" w:eastAsia="仿宋" w:cs="仿宋"/>
          <w:color w:val="auto"/>
          <w:sz w:val="32"/>
          <w:szCs w:val="32"/>
        </w:rPr>
        <w:t>万元，上升2</w:t>
      </w:r>
      <w:r>
        <w:rPr>
          <w:rFonts w:ascii="仿宋" w:hAnsi="仿宋" w:eastAsia="仿宋" w:cs="仿宋"/>
          <w:color w:val="auto"/>
          <w:sz w:val="32"/>
          <w:szCs w:val="32"/>
        </w:rPr>
        <w:t>0.89</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rPr>
        <w:t>主要是虽然本单位严格执行厉行节约的要求，充分控制预算，受疫情的影响，在有限的财力下，进一步压减项目支出，但因单位人数变动及单位事权调整，预算跟随调整，确保能充分做到保工资、保运转、保基本民生，坚决保障基层政府实施公共管理、提供基本公共服务以及落实党中央、国务院各项民生政策的基本财力需要。以支定收，故而收入预算相应增加。</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rPr>
      </w:pPr>
      <w:r>
        <w:rPr>
          <w:rFonts w:hint="eastAsia" w:ascii="仿宋" w:hAnsi="仿宋" w:eastAsia="仿宋" w:cs="仿宋"/>
          <w:b/>
          <w:color w:val="auto"/>
          <w:sz w:val="32"/>
          <w:szCs w:val="32"/>
        </w:rPr>
        <w:t>（二）支出预算：</w:t>
      </w:r>
      <w:r>
        <w:rPr>
          <w:rFonts w:hint="eastAsia" w:ascii="仿宋" w:hAnsi="仿宋" w:eastAsia="仿宋" w:cs="仿宋"/>
          <w:bCs/>
          <w:color w:val="auto"/>
          <w:sz w:val="32"/>
          <w:szCs w:val="32"/>
        </w:rPr>
        <w:t>2021年支出预算数3136.22万元，其中，一般公共服务</w:t>
      </w:r>
      <w:r>
        <w:rPr>
          <w:rFonts w:hint="eastAsia" w:ascii="仿宋" w:hAnsi="仿宋" w:eastAsia="仿宋" w:cs="仿宋"/>
          <w:bCs/>
          <w:color w:val="auto"/>
          <w:sz w:val="32"/>
          <w:szCs w:val="32"/>
          <w:lang w:val="en-US" w:eastAsia="zh-CN"/>
        </w:rPr>
        <w:t>支出2977.88</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val="en-US" w:eastAsia="zh-CN"/>
        </w:rPr>
        <w:t>社会保障和就业支出</w:t>
      </w:r>
      <w:r>
        <w:rPr>
          <w:rFonts w:hint="eastAsia" w:ascii="仿宋" w:hAnsi="仿宋" w:eastAsia="仿宋" w:cs="仿宋"/>
          <w:bCs/>
          <w:color w:val="auto"/>
          <w:sz w:val="32"/>
          <w:szCs w:val="32"/>
        </w:rPr>
        <w:t>4</w:t>
      </w:r>
      <w:r>
        <w:rPr>
          <w:rFonts w:ascii="仿宋" w:hAnsi="仿宋" w:eastAsia="仿宋" w:cs="仿宋"/>
          <w:bCs/>
          <w:color w:val="auto"/>
          <w:sz w:val="32"/>
          <w:szCs w:val="32"/>
        </w:rPr>
        <w:t>2.9</w:t>
      </w:r>
      <w:r>
        <w:rPr>
          <w:rFonts w:hint="eastAsia" w:ascii="仿宋" w:hAnsi="仿宋" w:eastAsia="仿宋" w:cs="仿宋"/>
          <w:bCs/>
          <w:color w:val="auto"/>
          <w:sz w:val="32"/>
          <w:szCs w:val="32"/>
        </w:rPr>
        <w:t>万元，住房保障支出115.44万元。本年支出预算数比上年增加542.02万元，增长20.89%。支出增加的主要原因是：严格落实全口径预算，更加准确的预算了各项支出。退休人员增加，人员经费略有增加，社会综合治理及城市管理、经济建设等项目投入加大。</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sz w:val="32"/>
          <w:szCs w:val="32"/>
        </w:rPr>
      </w:pPr>
      <w:r>
        <w:rPr>
          <w:rFonts w:hint="eastAsia" w:ascii="仿宋" w:hAnsi="仿宋" w:eastAsia="仿宋" w:cs="仿宋"/>
          <w:color w:val="auto"/>
          <w:sz w:val="32"/>
          <w:szCs w:val="32"/>
        </w:rPr>
        <w:t>2021年本部门一般公共预算拨款支出预算</w:t>
      </w:r>
      <w:r>
        <w:rPr>
          <w:rFonts w:ascii="仿宋" w:hAnsi="仿宋" w:eastAsia="仿宋" w:cs="仿宋"/>
          <w:bCs/>
          <w:color w:val="auto"/>
          <w:sz w:val="32"/>
          <w:szCs w:val="32"/>
        </w:rPr>
        <w:t>2283.46</w:t>
      </w:r>
      <w:r>
        <w:rPr>
          <w:rFonts w:hint="eastAsia" w:ascii="仿宋" w:hAnsi="仿宋" w:eastAsia="仿宋" w:cs="仿宋"/>
          <w:bCs/>
          <w:color w:val="auto"/>
          <w:sz w:val="32"/>
          <w:szCs w:val="32"/>
        </w:rPr>
        <w:t>万元，</w:t>
      </w:r>
      <w:r>
        <w:rPr>
          <w:rFonts w:hint="eastAsia" w:ascii="仿宋" w:hAnsi="仿宋" w:eastAsia="仿宋" w:cs="仿宋"/>
          <w:color w:val="auto"/>
          <w:sz w:val="32"/>
          <w:szCs w:val="32"/>
        </w:rPr>
        <w:t>其中，一般公共服务支出</w:t>
      </w:r>
      <w:r>
        <w:rPr>
          <w:rFonts w:ascii="仿宋" w:hAnsi="仿宋" w:eastAsia="仿宋" w:cs="仿宋"/>
          <w:color w:val="auto"/>
          <w:sz w:val="32"/>
          <w:szCs w:val="32"/>
        </w:rPr>
        <w:t>2125.12</w:t>
      </w:r>
      <w:r>
        <w:rPr>
          <w:rFonts w:hint="eastAsia" w:ascii="仿宋" w:hAnsi="仿宋" w:eastAsia="仿宋" w:cs="仿宋"/>
          <w:color w:val="auto"/>
          <w:sz w:val="32"/>
          <w:szCs w:val="32"/>
        </w:rPr>
        <w:t>万元，占</w:t>
      </w:r>
      <w:r>
        <w:rPr>
          <w:rFonts w:ascii="仿宋" w:hAnsi="仿宋" w:eastAsia="仿宋" w:cs="仿宋"/>
          <w:color w:val="auto"/>
          <w:sz w:val="32"/>
          <w:szCs w:val="32"/>
        </w:rPr>
        <w:t>93.07</w:t>
      </w:r>
      <w:r>
        <w:rPr>
          <w:rFonts w:hint="eastAsia" w:ascii="仿宋" w:hAnsi="仿宋" w:eastAsia="仿宋" w:cs="仿宋"/>
          <w:color w:val="auto"/>
          <w:sz w:val="32"/>
          <w:szCs w:val="32"/>
        </w:rPr>
        <w:t>%；</w:t>
      </w:r>
      <w:r>
        <w:rPr>
          <w:rFonts w:hint="eastAsia" w:ascii="仿宋" w:hAnsi="仿宋" w:eastAsia="仿宋"/>
          <w:color w:val="auto"/>
          <w:sz w:val="32"/>
          <w:szCs w:val="32"/>
        </w:rPr>
        <w:t>社会保障和就业</w:t>
      </w:r>
      <w:r>
        <w:rPr>
          <w:rFonts w:ascii="仿宋" w:hAnsi="仿宋" w:eastAsia="仿宋"/>
          <w:color w:val="auto"/>
          <w:sz w:val="32"/>
          <w:szCs w:val="32"/>
        </w:rPr>
        <w:t>42.9</w:t>
      </w:r>
      <w:r>
        <w:rPr>
          <w:rFonts w:hint="eastAsia" w:ascii="仿宋" w:hAnsi="仿宋" w:eastAsia="仿宋" w:cs="仿宋"/>
          <w:color w:val="auto"/>
          <w:sz w:val="32"/>
          <w:szCs w:val="32"/>
        </w:rPr>
        <w:t>万元</w:t>
      </w:r>
      <w:r>
        <w:rPr>
          <w:rFonts w:hint="eastAsia" w:ascii="仿宋" w:hAnsi="仿宋" w:eastAsia="仿宋"/>
          <w:color w:val="auto"/>
          <w:sz w:val="32"/>
          <w:szCs w:val="32"/>
        </w:rPr>
        <w:t>，</w:t>
      </w:r>
      <w:r>
        <w:rPr>
          <w:rFonts w:ascii="仿宋" w:hAnsi="仿宋" w:eastAsia="仿宋"/>
          <w:color w:val="auto"/>
          <w:sz w:val="32"/>
          <w:szCs w:val="32"/>
        </w:rPr>
        <w:t>占</w:t>
      </w:r>
      <w:r>
        <w:rPr>
          <w:rFonts w:ascii="仿宋" w:hAnsi="仿宋" w:eastAsia="仿宋" w:cs="仿宋"/>
          <w:color w:val="auto"/>
          <w:sz w:val="32"/>
          <w:szCs w:val="32"/>
        </w:rPr>
        <w:t>1.88</w:t>
      </w:r>
      <w:r>
        <w:rPr>
          <w:rFonts w:hint="eastAsia" w:ascii="仿宋" w:hAnsi="仿宋" w:eastAsia="仿宋"/>
          <w:color w:val="auto"/>
          <w:sz w:val="32"/>
          <w:szCs w:val="32"/>
        </w:rPr>
        <w:t>%；住房保障支出</w:t>
      </w:r>
      <w:r>
        <w:rPr>
          <w:rFonts w:ascii="仿宋" w:hAnsi="仿宋" w:eastAsia="仿宋" w:cs="仿宋"/>
          <w:color w:val="auto"/>
          <w:sz w:val="32"/>
          <w:szCs w:val="32"/>
        </w:rPr>
        <w:t>115.44</w:t>
      </w:r>
      <w:r>
        <w:rPr>
          <w:rFonts w:hint="eastAsia" w:ascii="仿宋" w:hAnsi="仿宋" w:eastAsia="仿宋"/>
          <w:color w:val="auto"/>
          <w:sz w:val="32"/>
          <w:szCs w:val="32"/>
        </w:rPr>
        <w:t>万元，</w:t>
      </w:r>
      <w:r>
        <w:rPr>
          <w:rFonts w:ascii="仿宋" w:hAnsi="仿宋" w:eastAsia="仿宋"/>
          <w:color w:val="auto"/>
          <w:sz w:val="32"/>
          <w:szCs w:val="32"/>
        </w:rPr>
        <w:t>占</w:t>
      </w:r>
      <w:r>
        <w:rPr>
          <w:rFonts w:ascii="仿宋" w:hAnsi="仿宋" w:eastAsia="仿宋" w:cs="仿宋"/>
          <w:color w:val="auto"/>
          <w:sz w:val="32"/>
          <w:szCs w:val="32"/>
        </w:rPr>
        <w:t>5.0</w:t>
      </w:r>
      <w:r>
        <w:rPr>
          <w:rFonts w:hint="eastAsia" w:ascii="仿宋" w:hAnsi="仿宋" w:eastAsia="仿宋" w:cs="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s="仿宋"/>
          <w:color w:val="auto"/>
          <w:sz w:val="32"/>
          <w:szCs w:val="32"/>
        </w:rPr>
        <w:t>。</w:t>
      </w:r>
      <w:r>
        <w:rPr>
          <w:rFonts w:hint="eastAsia" w:ascii="仿宋" w:hAnsi="仿宋" w:eastAsia="仿宋" w:cs="仿宋"/>
          <w:bCs/>
          <w:color w:val="auto"/>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color w:val="auto"/>
          <w:sz w:val="32"/>
          <w:szCs w:val="32"/>
        </w:rPr>
      </w:pPr>
      <w:r>
        <w:rPr>
          <w:rFonts w:hint="eastAsia" w:ascii="仿宋" w:hAnsi="仿宋" w:eastAsia="仿宋" w:cs="仿宋"/>
          <w:b/>
          <w:color w:val="auto"/>
          <w:sz w:val="32"/>
          <w:szCs w:val="32"/>
        </w:rPr>
        <w:t>（一）基本支出：2021</w:t>
      </w:r>
      <w:r>
        <w:rPr>
          <w:rFonts w:hint="eastAsia" w:ascii="仿宋" w:hAnsi="仿宋" w:eastAsia="仿宋" w:cs="仿宋"/>
          <w:color w:val="auto"/>
          <w:sz w:val="32"/>
          <w:szCs w:val="32"/>
        </w:rPr>
        <w:t>年本部门基本支出预算数</w:t>
      </w:r>
      <w:r>
        <w:rPr>
          <w:rFonts w:ascii="仿宋" w:hAnsi="仿宋" w:eastAsia="仿宋" w:cs="仿宋"/>
          <w:color w:val="auto"/>
          <w:sz w:val="32"/>
          <w:szCs w:val="32"/>
        </w:rPr>
        <w:t>1625</w:t>
      </w:r>
      <w:r>
        <w:rPr>
          <w:rFonts w:hint="eastAsia" w:ascii="仿宋" w:hAnsi="仿宋" w:eastAsia="仿宋" w:cs="仿宋"/>
          <w:color w:val="auto"/>
          <w:sz w:val="32"/>
          <w:szCs w:val="32"/>
        </w:rPr>
        <w:t>万元，主要是为保障部门正常运转、完成日常工作任务而发生的各项支出，包括用于基本工资、津贴补贴等人员经费以及办公费、印刷费、水电费、办公设备购置等公用经费。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rPr>
        <w:t>（二）项目支出：2021</w:t>
      </w:r>
      <w:r>
        <w:rPr>
          <w:rFonts w:hint="eastAsia" w:ascii="仿宋" w:hAnsi="仿宋" w:eastAsia="仿宋" w:cs="仿宋"/>
          <w:color w:val="auto"/>
          <w:sz w:val="32"/>
          <w:szCs w:val="32"/>
        </w:rPr>
        <w:t>年本部门项目支出预算</w:t>
      </w:r>
      <w:r>
        <w:rPr>
          <w:rFonts w:ascii="仿宋" w:hAnsi="仿宋" w:eastAsia="仿宋" w:cs="仿宋"/>
          <w:color w:val="auto"/>
          <w:sz w:val="32"/>
          <w:szCs w:val="32"/>
        </w:rPr>
        <w:t>658.46</w:t>
      </w:r>
      <w:r>
        <w:rPr>
          <w:rFonts w:hint="eastAsia" w:ascii="仿宋" w:hAnsi="仿宋" w:eastAsia="仿宋" w:cs="仿宋"/>
          <w:color w:val="auto"/>
          <w:sz w:val="32"/>
          <w:szCs w:val="32"/>
        </w:rPr>
        <w:t>万元，主要是部门为完成特定行政工作任务或事业发展目标而发生的支出，包括有关事业发展专项、专项业务费、基本建设支出等，其中：</w:t>
      </w:r>
      <w:r>
        <w:rPr>
          <w:rFonts w:hint="eastAsia" w:ascii="仿宋" w:hAnsi="仿宋" w:eastAsia="仿宋" w:cs="仿宋"/>
          <w:bCs/>
          <w:color w:val="auto"/>
          <w:sz w:val="32"/>
          <w:szCs w:val="32"/>
        </w:rPr>
        <w:t>社会管理项目195.00万元</w:t>
      </w:r>
      <w:r>
        <w:rPr>
          <w:rFonts w:hint="eastAsia" w:ascii="仿宋" w:hAnsi="仿宋" w:eastAsia="仿宋" w:cs="仿宋"/>
          <w:bCs/>
          <w:color w:val="auto"/>
          <w:sz w:val="32"/>
          <w:szCs w:val="32"/>
          <w:highlight w:val="none"/>
        </w:rPr>
        <w:t>，</w:t>
      </w:r>
      <w:r>
        <w:rPr>
          <w:rFonts w:hint="eastAsia" w:ascii="仿宋" w:hAnsi="仿宋" w:eastAsia="仿宋" w:cs="仿宋"/>
          <w:color w:val="auto"/>
          <w:sz w:val="32"/>
          <w:szCs w:val="32"/>
          <w:highlight w:val="none"/>
        </w:rPr>
        <w:t>主要用于要用于党建、人大政协、社会化管理创新、公共文明指数测评、纪检、文体活动等方面；</w:t>
      </w:r>
      <w:r>
        <w:rPr>
          <w:rFonts w:hint="eastAsia" w:ascii="仿宋" w:hAnsi="仿宋" w:eastAsia="仿宋" w:cs="仿宋"/>
          <w:bCs/>
          <w:color w:val="auto"/>
          <w:sz w:val="32"/>
          <w:szCs w:val="32"/>
          <w:highlight w:val="none"/>
        </w:rPr>
        <w:t>城市管理项目90.59万元，</w:t>
      </w:r>
      <w:r>
        <w:rPr>
          <w:rFonts w:hint="eastAsia" w:ascii="仿宋" w:hAnsi="仿宋" w:eastAsia="仿宋" w:cs="仿宋"/>
          <w:color w:val="auto"/>
          <w:sz w:val="32"/>
          <w:szCs w:val="32"/>
          <w:highlight w:val="none"/>
        </w:rPr>
        <w:t>主要用于主要用于市容环境卫生、提质改造、公共基础设施日常维护（含道路养护）、城市生活垃圾分类、环保宣传等方面；</w:t>
      </w:r>
      <w:r>
        <w:rPr>
          <w:rFonts w:hint="eastAsia" w:ascii="仿宋" w:hAnsi="仿宋" w:eastAsia="仿宋" w:cs="仿宋"/>
          <w:bCs/>
          <w:color w:val="auto"/>
          <w:sz w:val="32"/>
          <w:szCs w:val="32"/>
          <w:highlight w:val="none"/>
        </w:rPr>
        <w:t>公共服务项目21.43万元，</w:t>
      </w:r>
      <w:r>
        <w:rPr>
          <w:rFonts w:hint="eastAsia" w:ascii="仿宋" w:hAnsi="仿宋" w:eastAsia="仿宋" w:cs="仿宋"/>
          <w:color w:val="auto"/>
          <w:sz w:val="32"/>
          <w:szCs w:val="32"/>
          <w:highlight w:val="none"/>
        </w:rPr>
        <w:t>主要用于社会救助、拥军优属、劳动就业、社会保障、居家养老、伤残、死亡抚恤、双拥、优抚、社区社会组织管理等方面；</w:t>
      </w:r>
      <w:r>
        <w:rPr>
          <w:rFonts w:hint="eastAsia" w:ascii="仿宋" w:hAnsi="仿宋" w:eastAsia="仿宋" w:cs="仿宋"/>
          <w:bCs/>
          <w:color w:val="auto"/>
          <w:sz w:val="32"/>
          <w:szCs w:val="32"/>
          <w:highlight w:val="none"/>
        </w:rPr>
        <w:t>经济发展项目22万元，</w:t>
      </w:r>
      <w:r>
        <w:rPr>
          <w:rFonts w:hint="eastAsia" w:ascii="仿宋" w:hAnsi="仿宋" w:eastAsia="仿宋" w:cs="仿宋"/>
          <w:color w:val="auto"/>
          <w:sz w:val="32"/>
          <w:szCs w:val="32"/>
          <w:highlight w:val="none"/>
        </w:rPr>
        <w:t>主要用于在辖区内的经济建设、产业发展、招商引资、协税护税、经信科技、统计等工作等方面；</w:t>
      </w:r>
      <w:r>
        <w:rPr>
          <w:rFonts w:hint="eastAsia" w:ascii="仿宋" w:hAnsi="仿宋" w:eastAsia="仿宋" w:cs="仿宋"/>
          <w:bCs/>
          <w:color w:val="auto"/>
          <w:sz w:val="32"/>
          <w:szCs w:val="32"/>
          <w:highlight w:val="none"/>
        </w:rPr>
        <w:t>其他事务329.44万元，</w:t>
      </w:r>
      <w:r>
        <w:rPr>
          <w:rFonts w:hint="eastAsia" w:ascii="仿宋" w:hAnsi="仿宋" w:eastAsia="仿宋" w:cs="仿宋"/>
          <w:color w:val="auto"/>
          <w:sz w:val="32"/>
          <w:szCs w:val="32"/>
          <w:highlight w:val="none"/>
        </w:rPr>
        <w:t>主要用于其他不可预计事务等方面。</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五、政府性基金预算支出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rPr>
      </w:pPr>
      <w:r>
        <w:rPr>
          <w:rFonts w:hint="eastAsia" w:ascii="仿宋" w:hAnsi="仿宋" w:eastAsia="仿宋" w:cs="仿宋"/>
          <w:b/>
          <w:color w:val="auto"/>
          <w:sz w:val="32"/>
          <w:szCs w:val="32"/>
        </w:rPr>
        <w:t>（一）机关运行经费：</w:t>
      </w:r>
      <w:r>
        <w:rPr>
          <w:rFonts w:hint="eastAsia" w:ascii="仿宋" w:hAnsi="仿宋" w:eastAsia="仿宋" w:cs="仿宋"/>
          <w:bCs/>
          <w:color w:val="auto"/>
          <w:sz w:val="32"/>
          <w:szCs w:val="32"/>
        </w:rPr>
        <w:t>2021年街道运行经费财政拨款预算163.69万元，比2020年预算增加1.15万元，增加0.7%。主要原因是街道在职在编人员增加导致经费略有增加。</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u w:val="none"/>
        </w:rPr>
      </w:pPr>
      <w:r>
        <w:rPr>
          <w:rFonts w:hint="eastAsia" w:ascii="仿宋" w:hAnsi="仿宋" w:eastAsia="仿宋" w:cs="仿宋"/>
          <w:b/>
          <w:color w:val="auto"/>
          <w:sz w:val="32"/>
          <w:szCs w:val="32"/>
        </w:rPr>
        <w:t>（二）“三公”经费预算：</w:t>
      </w:r>
      <w:r>
        <w:rPr>
          <w:rFonts w:hint="eastAsia" w:ascii="仿宋" w:hAnsi="仿宋" w:eastAsia="仿宋" w:cs="仿宋"/>
          <w:bCs/>
          <w:color w:val="auto"/>
          <w:sz w:val="32"/>
          <w:szCs w:val="32"/>
        </w:rPr>
        <w:t>2021年“三公”经费预算数为0.5万元，其中，公务接待费0.5万元，公务用车购置及运行费0万元（其中，公务用车购置费</w:t>
      </w:r>
      <w:r>
        <w:rPr>
          <w:rFonts w:ascii="Calibri" w:hAnsi="Calibri" w:eastAsia="仿宋" w:cs="Calibri"/>
          <w:bCs/>
          <w:color w:val="auto"/>
          <w:sz w:val="32"/>
          <w:szCs w:val="32"/>
        </w:rPr>
        <w:t> </w:t>
      </w:r>
      <w:r>
        <w:rPr>
          <w:rFonts w:hint="eastAsia" w:ascii="仿宋" w:hAnsi="仿宋" w:eastAsia="仿宋" w:cs="仿宋"/>
          <w:bCs/>
          <w:color w:val="auto"/>
          <w:sz w:val="32"/>
          <w:szCs w:val="32"/>
        </w:rPr>
        <w:t>0万元，公务用车运行费0万元），因公出国（境）费0 万元。2021年“三公”经费预算与2020年持平，</w:t>
      </w:r>
      <w:r>
        <w:rPr>
          <w:rFonts w:hint="eastAsia" w:ascii="仿宋" w:hAnsi="仿宋" w:eastAsia="仿宋" w:cs="仿宋"/>
          <w:bCs/>
          <w:color w:val="auto"/>
          <w:sz w:val="32"/>
          <w:szCs w:val="32"/>
          <w:highlight w:val="none"/>
          <w:u w:val="none"/>
        </w:rPr>
        <w:t>主要是街道认真贯彻落实中央八项规定精神，厉行节约，严格控制公务接待开支和公务用车运行开支。</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（三）一般性支出情况：</w:t>
      </w:r>
      <w:r>
        <w:rPr>
          <w:rFonts w:hint="eastAsia" w:ascii="仿宋" w:hAnsi="仿宋" w:eastAsia="仿宋" w:cs="仿宋"/>
          <w:bCs/>
          <w:color w:val="auto"/>
          <w:sz w:val="32"/>
          <w:szCs w:val="32"/>
          <w:highlight w:val="none"/>
          <w:u w:val="none"/>
        </w:rPr>
        <w:t>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5</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sz w:val="32"/>
          <w:szCs w:val="32"/>
          <w:highlight w:val="none"/>
          <w:u w:val="none"/>
        </w:rPr>
        <w:t>拟召开2次会议，人数300人，内容为安全生产会议及城市管理工作相关会议</w:t>
      </w:r>
      <w:r>
        <w:rPr>
          <w:rFonts w:hint="eastAsia" w:ascii="仿宋" w:hAnsi="仿宋" w:eastAsia="仿宋" w:cs="仿宋"/>
          <w:color w:val="auto"/>
          <w:kern w:val="0"/>
          <w:sz w:val="32"/>
          <w:szCs w:val="32"/>
          <w:highlight w:val="none"/>
          <w:u w:val="none"/>
        </w:rPr>
        <w:t>；培训费预算</w:t>
      </w:r>
      <w:r>
        <w:rPr>
          <w:rFonts w:hint="eastAsia" w:ascii="仿宋" w:hAnsi="仿宋" w:eastAsia="仿宋" w:cs="仿宋"/>
          <w:color w:val="auto"/>
          <w:sz w:val="32"/>
          <w:szCs w:val="32"/>
          <w:highlight w:val="none"/>
          <w:u w:val="none"/>
          <w:lang w:val="en-US" w:eastAsia="zh-CN"/>
        </w:rPr>
        <w:t>5</w:t>
      </w:r>
      <w:r>
        <w:rPr>
          <w:rFonts w:hint="eastAsia" w:ascii="仿宋" w:hAnsi="仿宋" w:eastAsia="仿宋" w:cs="仿宋"/>
          <w:color w:val="auto"/>
          <w:kern w:val="0"/>
          <w:sz w:val="32"/>
          <w:szCs w:val="32"/>
          <w:highlight w:val="none"/>
          <w:u w:val="none"/>
        </w:rPr>
        <w:t>万元，拟开展培训，拟开展3次培训，人数300人，内容为消防知识培训、经济建设培训及应急救护培训等；无举办节庆、晚会、论坛、赛事活动。</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color w:val="auto"/>
          <w:sz w:val="32"/>
          <w:szCs w:val="32"/>
        </w:rPr>
      </w:pPr>
      <w:r>
        <w:rPr>
          <w:rFonts w:hint="eastAsia" w:ascii="仿宋" w:hAnsi="仿宋" w:eastAsia="仿宋" w:cs="仿宋"/>
          <w:b/>
          <w:color w:val="auto"/>
          <w:sz w:val="32"/>
          <w:szCs w:val="32"/>
        </w:rPr>
        <w:t>（四）政府采购情况：</w:t>
      </w:r>
      <w:r>
        <w:rPr>
          <w:rFonts w:hint="eastAsia" w:ascii="仿宋" w:hAnsi="仿宋" w:eastAsia="仿宋" w:cs="仿宋"/>
          <w:bCs/>
          <w:color w:val="auto"/>
          <w:sz w:val="32"/>
          <w:szCs w:val="32"/>
        </w:rPr>
        <w:t>2021年月湖街道政府采购预算总额157.44万元，其中：政府采购货物预算56.44万元，政府采购服务预算101万元，政府采购</w:t>
      </w:r>
      <w:r>
        <w:rPr>
          <w:rFonts w:hint="eastAsia" w:ascii="仿宋" w:hAnsi="仿宋" w:eastAsia="仿宋" w:cs="仿宋"/>
          <w:color w:val="auto"/>
          <w:sz w:val="32"/>
          <w:szCs w:val="32"/>
        </w:rPr>
        <w:t>工程类采购预算</w:t>
      </w:r>
      <w:r>
        <w:rPr>
          <w:rFonts w:ascii="仿宋" w:hAnsi="仿宋" w:eastAsia="仿宋" w:cs="仿宋"/>
          <w:color w:val="auto"/>
          <w:sz w:val="32"/>
          <w:szCs w:val="32"/>
        </w:rPr>
        <w:t>0</w:t>
      </w:r>
      <w:r>
        <w:rPr>
          <w:rFonts w:hint="eastAsia" w:ascii="仿宋" w:hAnsi="仿宋" w:eastAsia="仿宋" w:cs="仿宋"/>
          <w:color w:val="auto"/>
          <w:sz w:val="32"/>
          <w:szCs w:val="32"/>
        </w:rPr>
        <w:t>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kern w:val="0"/>
          <w:sz w:val="32"/>
          <w:szCs w:val="32"/>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rPr>
        <w:t>截至2020年12月底，本部门</w:t>
      </w:r>
      <w:r>
        <w:rPr>
          <w:rFonts w:hint="eastAsia" w:ascii="仿宋" w:hAnsi="仿宋" w:eastAsia="仿宋" w:cs="仿宋"/>
          <w:bCs/>
          <w:color w:val="auto"/>
          <w:kern w:val="0"/>
          <w:sz w:val="32"/>
          <w:szCs w:val="32"/>
        </w:rPr>
        <w:t>共有公务用车</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rPr>
        <w:t>辆，其中，机要通信用车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辆，应急保障用车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辆，执法执勤用车</w:t>
      </w:r>
      <w:r>
        <w:rPr>
          <w:rFonts w:hint="eastAsia" w:ascii="仿宋" w:hAnsi="仿宋" w:eastAsia="仿宋" w:cs="仿宋"/>
          <w:bCs/>
          <w:color w:val="auto"/>
          <w:kern w:val="0"/>
          <w:sz w:val="32"/>
          <w:szCs w:val="32"/>
          <w:lang w:val="en-US" w:eastAsia="zh-CN"/>
        </w:rPr>
        <w:t>1</w:t>
      </w:r>
      <w:r>
        <w:rPr>
          <w:rFonts w:hint="eastAsia" w:ascii="仿宋" w:hAnsi="仿宋" w:eastAsia="仿宋" w:cs="仿宋"/>
          <w:bCs/>
          <w:color w:val="auto"/>
          <w:kern w:val="0"/>
          <w:sz w:val="32"/>
          <w:szCs w:val="32"/>
        </w:rPr>
        <w:t>辆，特种专业技术用车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辆，其他按照规定配备的公务用车</w:t>
      </w:r>
      <w:r>
        <w:rPr>
          <w:rFonts w:hint="eastAsia" w:ascii="仿宋" w:hAnsi="仿宋" w:eastAsia="仿宋" w:cs="仿宋"/>
          <w:bCs/>
          <w:color w:val="auto"/>
          <w:kern w:val="0"/>
          <w:sz w:val="32"/>
          <w:szCs w:val="32"/>
          <w:lang w:val="en-US" w:eastAsia="zh-CN"/>
        </w:rPr>
        <w:t>0</w:t>
      </w:r>
      <w:r>
        <w:rPr>
          <w:rFonts w:hint="eastAsia" w:ascii="仿宋" w:hAnsi="仿宋" w:eastAsia="仿宋" w:cs="仿宋"/>
          <w:bCs/>
          <w:color w:val="auto"/>
          <w:kern w:val="0"/>
          <w:sz w:val="32"/>
          <w:szCs w:val="32"/>
        </w:rPr>
        <w:t>辆；单位价值50万元以上通用设备</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台，单位价值100万元以上专用设备</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台。2021年拟新增配置公务用车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辆，其中，机要通信用车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辆，应急保障用车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辆，执法执勤用车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辆，特种专业技术用车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辆，其他按照规定配备的公务用车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辆；新增配备单位价值50万元以上通用设备</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台，单位价值100万元以上专用设备</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台。</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（六）预算绩效目标说明：</w:t>
      </w:r>
      <w:r>
        <w:rPr>
          <w:rFonts w:hint="eastAsia" w:ascii="仿宋" w:hAnsi="仿宋" w:eastAsia="仿宋" w:cs="仿宋"/>
          <w:bCs/>
          <w:color w:val="auto"/>
          <w:sz w:val="32"/>
          <w:szCs w:val="32"/>
        </w:rPr>
        <w:t>按照市本级预算绩效管理工作的总体要求，2021年月湖街道办事处整体支出3136.22万元，其中：基本支出1625万元，项目支出1511.22万元，涉及一般公共预算当年拨款2232.36万元，纳入专户的非税收入拨款51.1</w:t>
      </w:r>
      <w:r>
        <w:rPr>
          <w:rFonts w:hint="eastAsia" w:ascii="仿宋" w:hAnsi="仿宋" w:eastAsia="仿宋" w:cs="仿宋"/>
          <w:bCs/>
          <w:color w:val="auto"/>
          <w:sz w:val="32"/>
          <w:szCs w:val="32"/>
          <w:lang w:eastAsia="zh-CN"/>
        </w:rPr>
        <w:t>万元，其他资金852.76万元，</w:t>
      </w:r>
      <w:r>
        <w:rPr>
          <w:rFonts w:hint="eastAsia" w:ascii="仿宋" w:hAnsi="仿宋" w:eastAsia="仿宋" w:cs="仿宋"/>
          <w:bCs/>
          <w:color w:val="auto"/>
          <w:sz w:val="32"/>
          <w:szCs w:val="32"/>
        </w:rPr>
        <w:t>全部实行整体支出绩效目标管理。</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编报绩效目标的项目5个，涉及项目支出1511.22万元，其中：社会管理项目195.00万元；城市管理项目355.79万元；公共服务项目21.43万元；经济发展项目2</w:t>
      </w: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.00万元；其他事务</w:t>
      </w:r>
      <w:r>
        <w:rPr>
          <w:rFonts w:hint="eastAsia" w:ascii="仿宋" w:hAnsi="仿宋" w:eastAsia="仿宋" w:cs="仿宋"/>
          <w:bCs/>
          <w:color w:val="auto"/>
          <w:sz w:val="32"/>
          <w:szCs w:val="32"/>
          <w:lang w:val="en-US" w:eastAsia="zh-CN"/>
        </w:rPr>
        <w:t>917</w:t>
      </w:r>
      <w:r>
        <w:rPr>
          <w:rFonts w:hint="eastAsia" w:ascii="仿宋" w:hAnsi="仿宋" w:eastAsia="仿宋" w:cs="仿宋"/>
          <w:bCs/>
          <w:color w:val="auto"/>
          <w:sz w:val="32"/>
          <w:szCs w:val="32"/>
        </w:rPr>
        <w:t>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color w:val="auto"/>
          <w:sz w:val="32"/>
          <w:szCs w:val="32"/>
        </w:rPr>
      </w:pPr>
      <w:r>
        <w:rPr>
          <w:rFonts w:eastAsia="黑体"/>
          <w:color w:val="auto"/>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rPr>
      </w:pPr>
      <w:r>
        <w:rPr>
          <w:rFonts w:hint="eastAsia" w:ascii="仿宋" w:hAnsi="仿宋" w:eastAsia="仿宋" w:cs="仿宋"/>
          <w:color w:val="auto"/>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rPr>
      </w:pPr>
      <w:r>
        <w:rPr>
          <w:rFonts w:hint="eastAsia" w:ascii="仿宋" w:hAnsi="仿宋" w:eastAsia="仿宋" w:cs="仿宋"/>
          <w:color w:val="auto"/>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rPr>
      </w:pPr>
      <w:r>
        <w:rPr>
          <w:rFonts w:hint="eastAsia" w:ascii="黑体" w:hAnsi="黑体" w:eastAsia="黑体" w:cs="黑体"/>
          <w:b/>
          <w:color w:val="auto"/>
          <w:kern w:val="0"/>
          <w:sz w:val="44"/>
          <w:szCs w:val="44"/>
        </w:rPr>
        <w:t>第二部分 2021年部门预算表</w:t>
      </w:r>
    </w:p>
    <w:p>
      <w:pPr>
        <w:widowControl/>
        <w:spacing w:line="600" w:lineRule="exact"/>
        <w:rPr>
          <w:rFonts w:eastAsia="仿宋_GB2312"/>
          <w:color w:val="auto"/>
          <w:sz w:val="32"/>
          <w:szCs w:val="32"/>
        </w:rPr>
      </w:pPr>
    </w:p>
    <w:p>
      <w:pPr>
        <w:pStyle w:val="5"/>
        <w:widowControl/>
        <w:spacing w:before="24" w:beforeAutospacing="0" w:after="24" w:afterAutospacing="0" w:line="432" w:lineRule="atLeast"/>
        <w:ind w:firstLine="640" w:firstLineChars="200"/>
        <w:rPr>
          <w:rFonts w:ascii="仿宋" w:hAnsi="仿宋" w:eastAsia="仿宋" w:cs="仿宋"/>
          <w:bCs/>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Mjg0NmIwZjA0ZDg4ZTNjZmViMzBhOGViYjcwNjQifQ=="/>
  </w:docVars>
  <w:rsids>
    <w:rsidRoot w:val="44634589"/>
    <w:rsid w:val="00203B22"/>
    <w:rsid w:val="0073207B"/>
    <w:rsid w:val="0086096C"/>
    <w:rsid w:val="009D2A0A"/>
    <w:rsid w:val="00AB3AB8"/>
    <w:rsid w:val="00BF6622"/>
    <w:rsid w:val="00F1656D"/>
    <w:rsid w:val="025D3C6A"/>
    <w:rsid w:val="09F60DB9"/>
    <w:rsid w:val="0E841816"/>
    <w:rsid w:val="107C3019"/>
    <w:rsid w:val="188E5849"/>
    <w:rsid w:val="24E47143"/>
    <w:rsid w:val="3B43193A"/>
    <w:rsid w:val="41354281"/>
    <w:rsid w:val="44634589"/>
    <w:rsid w:val="526D1C09"/>
    <w:rsid w:val="59EC3077"/>
    <w:rsid w:val="639E4B21"/>
    <w:rsid w:val="6FAA716E"/>
    <w:rsid w:val="79F74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3751</Words>
  <Characters>4067</Characters>
  <Lines>27</Lines>
  <Paragraphs>7</Paragraphs>
  <TotalTime>2</TotalTime>
  <ScaleCrop>false</ScaleCrop>
  <LinksUpToDate>false</LinksUpToDate>
  <CharactersWithSpaces>4075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2022-06-28T15:24:00Z</dcterms:created>
  <dc:creator>燕子</dc:creator>
  <cp:lastModifiedBy>甜酒小丸子</cp:lastModifiedBy>
  <dcterms:modified xsi:type="dcterms:W3CDTF">2022-08-19T07:31:14Z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C069EC6D34854BB1B92011EEB59FAE00</vt:lpwstr>
  </property>
</Properties>
</file>