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kinsoku/>
        <w:wordWrap/>
        <w:overflowPunct/>
        <w:topLinePunct w:val="0"/>
        <w:autoSpaceDE/>
        <w:autoSpaceDN/>
        <w:bidi w:val="0"/>
        <w:adjustRightInd/>
        <w:snapToGrid/>
        <w:spacing w:beforeAutospacing="0" w:after="0"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ageBreakBefore w:val="0"/>
        <w:kinsoku/>
        <w:wordWrap/>
        <w:overflowPunct/>
        <w:topLinePunct w:val="0"/>
        <w:autoSpaceDE/>
        <w:autoSpaceDN/>
        <w:bidi w:val="0"/>
        <w:adjustRightInd/>
        <w:snapToGrid/>
        <w:spacing w:beforeAutospacing="0" w:after="0" w:line="600" w:lineRule="exact"/>
        <w:ind w:left="0" w:right="0"/>
        <w:textAlignment w:val="auto"/>
        <w:rPr>
          <w:rFonts w:hint="eastAsia"/>
          <w:lang w:val="en-US" w:eastAsia="zh-CN"/>
        </w:rPr>
      </w:pPr>
    </w:p>
    <w:p>
      <w:pPr>
        <w:pStyle w:val="4"/>
        <w:pageBreakBefore w:val="0"/>
        <w:widowControl/>
        <w:kinsoku/>
        <w:wordWrap/>
        <w:overflowPunct/>
        <w:topLinePunct w:val="0"/>
        <w:autoSpaceDE/>
        <w:autoSpaceDN/>
        <w:bidi w:val="0"/>
        <w:adjustRightInd/>
        <w:snapToGrid/>
        <w:spacing w:beforeAutospacing="0" w:after="0" w:line="600" w:lineRule="exact"/>
        <w:ind w:left="0" w:right="0"/>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开福</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val="en-US" w:eastAsia="zh-CN"/>
        </w:rPr>
        <w:t>湘雅路街道</w:t>
      </w:r>
      <w:r>
        <w:rPr>
          <w:rFonts w:hint="eastAsia" w:ascii="方正小标宋简体" w:hAnsi="方正小标宋简体" w:eastAsia="方正小标宋简体" w:cs="方正小标宋简体"/>
          <w:sz w:val="44"/>
          <w:szCs w:val="44"/>
        </w:rPr>
        <w:t>安全生产</w:t>
      </w:r>
    </w:p>
    <w:p>
      <w:pPr>
        <w:pStyle w:val="4"/>
        <w:pageBreakBefore w:val="0"/>
        <w:widowControl/>
        <w:kinsoku/>
        <w:wordWrap/>
        <w:overflowPunct/>
        <w:topLinePunct w:val="0"/>
        <w:autoSpaceDE/>
        <w:autoSpaceDN/>
        <w:bidi w:val="0"/>
        <w:adjustRightInd/>
        <w:snapToGrid/>
        <w:spacing w:beforeAutospacing="0" w:after="0" w:line="600" w:lineRule="exact"/>
        <w:ind w:left="0" w:right="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工作要点</w:t>
      </w:r>
    </w:p>
    <w:bookmarkEnd w:id="0"/>
    <w:p>
      <w:pPr>
        <w:pageBreakBefore w:val="0"/>
        <w:widowControl/>
        <w:kinsoku/>
        <w:wordWrap/>
        <w:overflowPunct/>
        <w:topLinePunct w:val="0"/>
        <w:autoSpaceDE/>
        <w:autoSpaceDN/>
        <w:bidi w:val="0"/>
        <w:adjustRightInd/>
        <w:snapToGrid/>
        <w:spacing w:beforeAutospacing="0" w:after="0" w:line="60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党的十九大和十九届二中、三中、四中、五中全会精神，深入学习习近平总书记关于安全生产重要论述，全面落实上级关于安全生产的决策部署，统筹发展和安全，紧紧围绕“从根本上消除事故隐患”“从根本上解决问题”，扎实开展安全生产专项整治三年行动，进一步完善和落实安全生产责任制，切实加强安全监管执法，全面排查整治安全隐患，铁腕推进打非治违，夯实安全生产基层基础，全力织密织牢安全防控网络，全面提升本质安全水平，严防严控一般事故，坚决遏制较大事故，坚决杜绝重特大事故，坚决防范自然灾害导致重大人员伤亡，确保安全生产事故总量持续下降，确保全</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安全形势持续稳定向好，为“十四五”开好局、起好步，为</w:t>
      </w:r>
      <w:r>
        <w:rPr>
          <w:rFonts w:hint="eastAsia" w:ascii="仿宋_GB2312" w:hAnsi="仿宋_GB2312" w:eastAsia="仿宋_GB2312" w:cs="仿宋_GB2312"/>
          <w:sz w:val="32"/>
          <w:szCs w:val="32"/>
          <w:lang w:val="en-US" w:eastAsia="zh-CN"/>
        </w:rPr>
        <w:t>建设和谐湘雅</w:t>
      </w:r>
      <w:r>
        <w:rPr>
          <w:rFonts w:hint="eastAsia" w:ascii="仿宋_GB2312" w:hAnsi="仿宋_GB2312" w:eastAsia="仿宋_GB2312" w:cs="仿宋_GB2312"/>
          <w:sz w:val="32"/>
          <w:szCs w:val="32"/>
        </w:rPr>
        <w:t>提供安全保障，以安全生产优异成绩庆祝建党100周年。</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624" w:hanging="10"/>
        <w:textAlignment w:val="auto"/>
        <w:rPr>
          <w:rFonts w:hint="eastAsia" w:ascii="黑体" w:hAnsi="黑体" w:eastAsia="黑体" w:cs="黑体"/>
          <w:sz w:val="32"/>
          <w:szCs w:val="32"/>
        </w:rPr>
      </w:pPr>
      <w:r>
        <w:rPr>
          <w:rFonts w:hint="eastAsia" w:ascii="黑体" w:hAnsi="黑体" w:eastAsia="黑体" w:cs="黑体"/>
          <w:sz w:val="32"/>
          <w:szCs w:val="32"/>
        </w:rPr>
        <w:t>一、提升政治站位，强化安全发展理念</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t>推动学习宣贯习近平总书记关于安全生产、应急管理重要论述走深走实。层层组织观看学习“生命重于泰山---习近平总书记关于安全生产重要论述”。各</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、各部门和单位党委（党组）理论学习中心组专题学习，并将其纳入</w:t>
      </w:r>
      <w:r>
        <w:rPr>
          <w:rFonts w:hint="eastAsia" w:ascii="仿宋_GB2312" w:hAnsi="仿宋_GB2312" w:eastAsia="仿宋_GB2312" w:cs="仿宋_GB2312"/>
          <w:sz w:val="32"/>
          <w:szCs w:val="32"/>
          <w:lang w:val="en-US" w:eastAsia="zh-CN"/>
        </w:rPr>
        <w:t>街中心组学习和</w:t>
      </w:r>
      <w:r>
        <w:rPr>
          <w:rFonts w:hint="eastAsia" w:ascii="仿宋_GB2312" w:hAnsi="仿宋_GB2312" w:eastAsia="仿宋_GB2312" w:cs="仿宋_GB2312"/>
          <w:sz w:val="32"/>
          <w:szCs w:val="32"/>
        </w:rPr>
        <w:t>干部培训的内容，推进学习教育全覆盖。对新调整的党政领导干部、负有安全监管职责的部门和重点企业负责人分批组织开展轮训，组织宣讲团赴企业开展宣贯活动。在各级主流媒体开设专题专栏，做好重要论述权威解读，强化学习效果。</w:t>
      </w:r>
      <w:r>
        <w:rPr>
          <w:rFonts w:hint="eastAsia" w:eastAsia="楷体_GB2312"/>
          <w:b/>
          <w:bCs/>
          <w:color w:val="000000"/>
          <w:sz w:val="32"/>
          <w:szCs w:val="32"/>
          <w:lang w:eastAsia="zh-CN"/>
        </w:rPr>
        <w:t>（街道、</w:t>
      </w:r>
      <w:r>
        <w:rPr>
          <w:rFonts w:hint="eastAsia" w:eastAsia="楷体_GB2312"/>
          <w:b/>
          <w:bCs/>
          <w:color w:val="000000"/>
          <w:sz w:val="32"/>
          <w:szCs w:val="32"/>
          <w:lang w:val="en-US" w:eastAsia="zh-CN"/>
        </w:rPr>
        <w:t>党政办、分管部门、</w:t>
      </w:r>
      <w:r>
        <w:rPr>
          <w:rFonts w:hint="eastAsia" w:eastAsia="楷体_GB2312"/>
          <w:b/>
          <w:bCs/>
          <w:color w:val="000000"/>
          <w:sz w:val="32"/>
          <w:szCs w:val="32"/>
          <w:lang w:eastAsia="zh-CN"/>
        </w:rPr>
        <w:t>社区负责）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sz w:val="32"/>
          <w:szCs w:val="32"/>
        </w:rPr>
        <w:t>推动重大决策部署落地落实。持续推进安全生产领域改革发展，强化制度性成果，不断提升安全生产治理体系和治理能力现代化。认真贯彻中央《关于全面加强危险化学品安全生产工作的意见》，推动各有关部门、街道依职责任务分工抓好落实。深入贯彻中央《关于深化应急管理综合行政执法改革的意见》，推动落实相关改革措施，理</w:t>
      </w:r>
      <w:r>
        <w:rPr>
          <w:rFonts w:hint="eastAsia" w:ascii="仿宋_GB2312" w:hAnsi="仿宋_GB2312" w:eastAsia="仿宋_GB2312" w:cs="仿宋_GB2312"/>
          <w:sz w:val="32"/>
          <w:szCs w:val="32"/>
          <w:lang w:val="en-US" w:eastAsia="zh-CN"/>
        </w:rPr>
        <w:t>顺</w:t>
      </w:r>
      <w:r>
        <w:rPr>
          <w:rFonts w:hint="eastAsia" w:ascii="仿宋_GB2312" w:hAnsi="仿宋_GB2312" w:eastAsia="仿宋_GB2312" w:cs="仿宋_GB2312"/>
          <w:sz w:val="32"/>
          <w:szCs w:val="32"/>
        </w:rPr>
        <w:t>街安全监管执法体制机制，强化基层安全监管执法能力。</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街安监站</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sz w:val="32"/>
          <w:szCs w:val="32"/>
        </w:rPr>
        <w:t>推动</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规划有序实施。立足新发展阶段、贯彻新发展理念、构建新发展格局，推动将安全生产重点内容纳入全</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国民经济和社会发展“十四五”规划。认真谋划好应急管理体系“十四五”规划中安全生产规划，在交通运输、道路交通、油气等重点行业领域“十四五”发展规划中谋划好安全生产专项规划。</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街安监站、经贸办、城管办、综治办</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624" w:hanging="10"/>
        <w:textAlignment w:val="auto"/>
        <w:rPr>
          <w:rFonts w:hint="eastAsia" w:ascii="黑体" w:hAnsi="黑体" w:eastAsia="黑体" w:cs="黑体"/>
          <w:sz w:val="32"/>
          <w:szCs w:val="32"/>
        </w:rPr>
      </w:pPr>
      <w:r>
        <w:rPr>
          <w:rFonts w:hint="eastAsia" w:ascii="黑体" w:hAnsi="黑体" w:eastAsia="黑体" w:cs="黑体"/>
          <w:sz w:val="32"/>
          <w:szCs w:val="32"/>
        </w:rPr>
        <w:t>二、健全责任体系，压实安全生产责任</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t>强化党政领导责任落实。认真贯彻《地方党政领导干部安全生产责任制规定》及省市实施细则，层层制定年度“工作清单”，推动街道和职能部门将安全生产工作情况纳入党政领导干部述职内容。多措并举用好约谈通报、警示曝光、督导回访等“组合拳”，进一步规范党政领导干部带队督导检查安全生产工作，推动更好落实党委政府属地领导责任，切实担负起“促一方发展、保一方平安”政治责任。</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街纪委办督促，街有关部门</w:t>
      </w:r>
      <w:r>
        <w:rPr>
          <w:rFonts w:hint="eastAsia" w:eastAsia="楷体_GB2312"/>
          <w:b/>
          <w:bCs/>
          <w:color w:val="000000"/>
          <w:sz w:val="32"/>
          <w:szCs w:val="32"/>
          <w:lang w:eastAsia="zh-CN"/>
        </w:rPr>
        <w:t>负责落实）</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sz w:val="32"/>
          <w:szCs w:val="32"/>
        </w:rPr>
        <w:t>强化行业监管责任落实。严格落实《开福区</w:t>
      </w:r>
      <w:r>
        <w:rPr>
          <w:rFonts w:hint="eastAsia" w:ascii="仿宋_GB2312" w:hAnsi="仿宋_GB2312" w:eastAsia="仿宋_GB2312" w:cs="仿宋_GB2312"/>
          <w:sz w:val="32"/>
          <w:szCs w:val="32"/>
          <w:lang w:val="en-US" w:eastAsia="zh-CN"/>
        </w:rPr>
        <w:t>湘雅路</w:t>
      </w:r>
      <w:r>
        <w:rPr>
          <w:rFonts w:hint="eastAsia" w:ascii="仿宋_GB2312" w:hAnsi="仿宋_GB2312" w:eastAsia="仿宋_GB2312" w:cs="仿宋_GB2312"/>
          <w:sz w:val="32"/>
          <w:szCs w:val="32"/>
        </w:rPr>
        <w:t>安全生产委员会成员单位安全生产工作职责规定》有关规定，进一步发挥各专业的作用，协调解决各行业领域安全生产工作中存在的突出问题。推动各级各有关部门加强对新技术、新产品、新业态、新模式的安全风险研判，摒弃“只管合法不管非法”的思想，着力消除监管盲区。继续深入开展“强执法、防事故” 活动,提升执法质量，突出重点行业、重点企业、重大隐患，做到精准执法，高效执法。实行执法数据月调度制度，配合</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安委办做好安全监管执法质量“排行榜”和典型案例月度报告制度，并充分宣传、以点带面、示范引导强化监管执法，切实解决“只检查不执法、有执法无处罚”的痼疾。</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安委办督促，</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相关部门分工负责）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right="151"/>
        <w:jc w:val="both"/>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sz w:val="32"/>
          <w:szCs w:val="32"/>
        </w:rPr>
        <w:t>强化企业主体责任落实。全面深化安全生产“一会三卡” （班前会、风险卡、作业卡、应急卡）制度，强化企业班组安全管理职责，提升从业人员自我安全管理能力。大力推广安全生产承诺制，规范企业安全风险辨识、评估、管控、报告工作。在高危企业全面推行企业风险分级管控和主动报告制度，并将企业贯彻落实情况纳入安全监管执法检查的重要内容。配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委办对企业主要负责人、安全管理人员进行每季随机抽考并向社会公开考试成绩，促进其提升履职能力和水平。综合运用好投诉举报、约谈通报、警示曝光、执法处罚、失信惩戒、安责险等“组合拳”，推动企业全面加强安全生产“四要素”（人、物、制度、时空环境）本质安全建设。</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安委办和各有关部门分工负责）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0" w:right="86" w:firstLine="629"/>
        <w:jc w:val="both"/>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sz w:val="32"/>
          <w:szCs w:val="32"/>
        </w:rPr>
        <w:t>强化安全生产考核巡查。创新方式方法，强化“一票否决”“黄牌警告”和创先争优的结果运用，加大激励和鞭策推动力。健全完善考评组织体系和日常考核机制，将事故考核与过程管理相结合，加强对专项整治、打非治违等重点工作的日常考评和通报。坚持问题导向，创新巡查方式，探索实行专项巡查、特别巡查制度，将落实安全生产重点工作情况、三年行动两个清单情况及2020年巡查发现的问题隐患整改落实情况纳入专项巡查，重点巡查党政领导责任、部门监管责任、企业主体责任是否到位，发挥安全生产巡查利剑作用。</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安委办牵头，会同</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有关部门开展）</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sz w:val="32"/>
          <w:szCs w:val="32"/>
          <w:lang w:val="en-US" w:eastAsia="zh-CN"/>
        </w:rPr>
        <w:t>强</w:t>
      </w:r>
      <w:r>
        <w:rPr>
          <w:rFonts w:hint="eastAsia" w:ascii="仿宋_GB2312" w:hAnsi="仿宋_GB2312" w:eastAsia="仿宋_GB2312" w:cs="仿宋_GB2312"/>
          <w:sz w:val="32"/>
          <w:szCs w:val="32"/>
        </w:rPr>
        <w:t>化事故调查处理问责问效。进一步完善事故调查处理工作机制，规范事故调查处理工作程序。推动落实行刑衔接，严格事故责任追究。建立健全事故整改评估机制，组织对典型事故整改措施等落实情况开展专项督查。规范一般事故调查，加强无亡人事故调查，强化事故警示教育作用。</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街安监站</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派出所</w:t>
      </w:r>
      <w:r>
        <w:rPr>
          <w:rFonts w:hint="eastAsia" w:eastAsia="楷体_GB2312"/>
          <w:b/>
          <w:bCs/>
          <w:color w:val="000000"/>
          <w:sz w:val="32"/>
          <w:szCs w:val="32"/>
          <w:lang w:eastAsia="zh-CN"/>
        </w:rPr>
        <w:t>、有关部门分工负责）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624" w:hanging="10"/>
        <w:textAlignment w:val="auto"/>
        <w:rPr>
          <w:rFonts w:hint="eastAsia" w:ascii="黑体" w:hAnsi="黑体" w:eastAsia="黑体" w:cs="黑体"/>
          <w:sz w:val="32"/>
          <w:szCs w:val="32"/>
        </w:rPr>
      </w:pPr>
      <w:r>
        <w:rPr>
          <w:rFonts w:hint="eastAsia" w:ascii="黑体" w:hAnsi="黑体" w:eastAsia="黑体" w:cs="黑体"/>
          <w:sz w:val="32"/>
          <w:szCs w:val="32"/>
        </w:rPr>
        <w:t>三、深化“打非治违”，推进专项整治攻坚</w:t>
      </w:r>
    </w:p>
    <w:p>
      <w:pPr>
        <w:keepNext w:val="0"/>
        <w:keepLines w:val="0"/>
        <w:pageBreakBefore w:val="0"/>
        <w:widowControl w:val="0"/>
        <w:kinsoku/>
        <w:wordWrap/>
        <w:overflowPunct/>
        <w:topLinePunct w:val="0"/>
        <w:autoSpaceDE/>
        <w:autoSpaceDN/>
        <w:bidi w:val="0"/>
        <w:adjustRightInd w:val="0"/>
        <w:snapToGrid w:val="0"/>
        <w:spacing w:beforeAutospacing="0" w:after="0" w:line="600" w:lineRule="exact"/>
        <w:ind w:left="-17" w:right="-17" w:firstLine="643" w:firstLineChars="200"/>
        <w:textAlignment w:val="auto"/>
        <w:rPr>
          <w:rFonts w:eastAsia="楷体_GB2312"/>
          <w:b/>
          <w:bCs/>
          <w:color w:val="000000"/>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t>全面推进</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打非治违</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行动。推动</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有关部门、街道严格落实“打非”主体责任，加大社区巡查排查力度，建立健全工作机制和保障制度，对责任不落实、工作走过场致使非法生产企业（单位）存在的，依法依规追责问责。各有关部门在广播、电视、报纸、互联网等媒体开设专栏或专题，定期曝光打非治违典型案例，同时公布投诉举报电话，健全落实举报奖励政策，强化安全生产领域失信联合惩戒。严格贯彻执行刑法修正案（十一）及其司法解释，按照各行业领域适用具体情形，加强事故前严重违法行为刑事责任追究。</w:t>
      </w:r>
      <w:r>
        <w:rPr>
          <w:rFonts w:eastAsia="仿宋_GB2312"/>
          <w:b/>
          <w:bCs/>
          <w:color w:val="000000"/>
          <w:sz w:val="32"/>
          <w:szCs w:val="32"/>
        </w:rPr>
        <w:t>（</w:t>
      </w:r>
      <w:r>
        <w:rPr>
          <w:rFonts w:hint="eastAsia" w:eastAsia="仿宋_GB2312"/>
          <w:b/>
          <w:bCs/>
          <w:color w:val="000000"/>
          <w:sz w:val="32"/>
          <w:szCs w:val="32"/>
          <w:lang w:val="en-US" w:eastAsia="zh-CN"/>
        </w:rPr>
        <w:t>街</w:t>
      </w:r>
      <w:r>
        <w:rPr>
          <w:rFonts w:eastAsia="楷体_GB2312"/>
          <w:b/>
          <w:bCs/>
          <w:color w:val="000000"/>
          <w:sz w:val="32"/>
          <w:szCs w:val="32"/>
        </w:rPr>
        <w:t>安委办督促，</w:t>
      </w:r>
      <w:r>
        <w:rPr>
          <w:rFonts w:hint="eastAsia" w:eastAsia="楷体_GB2312"/>
          <w:b/>
          <w:bCs/>
          <w:color w:val="000000"/>
          <w:sz w:val="32"/>
          <w:szCs w:val="32"/>
          <w:lang w:val="en-US" w:eastAsia="zh-CN"/>
        </w:rPr>
        <w:t>街</w:t>
      </w:r>
      <w:r>
        <w:rPr>
          <w:rFonts w:eastAsia="楷体_GB2312"/>
          <w:b/>
          <w:bCs/>
          <w:color w:val="000000"/>
          <w:sz w:val="32"/>
          <w:szCs w:val="32"/>
        </w:rPr>
        <w:t>有关部门分工负责）</w:t>
      </w:r>
    </w:p>
    <w:p>
      <w:pPr>
        <w:keepNext w:val="0"/>
        <w:keepLines w:val="0"/>
        <w:pageBreakBefore w:val="0"/>
        <w:widowControl w:val="0"/>
        <w:kinsoku/>
        <w:wordWrap/>
        <w:overflowPunct/>
        <w:topLinePunct w:val="0"/>
        <w:autoSpaceDE/>
        <w:autoSpaceDN/>
        <w:bidi w:val="0"/>
        <w:adjustRightInd w:val="0"/>
        <w:snapToGrid w:val="0"/>
        <w:spacing w:beforeAutospacing="0" w:after="0" w:line="600" w:lineRule="exact"/>
        <w:ind w:left="-17" w:right="-17" w:firstLine="643" w:firstLineChars="200"/>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sz w:val="32"/>
          <w:szCs w:val="32"/>
        </w:rPr>
        <w:t>强力推进专项整治三年行动集中攻坚。发挥</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安委办和各办公室督促协调作用，推动各部门、街道持续动态更新问题隐患和制度措施“两个清单”，强化清单化任务管理和挂图作战工作机制，聚焦重点难点问题加大专项整治攻坚力度</w:t>
      </w:r>
      <w:r>
        <w:rPr>
          <w:rFonts w:hint="eastAsia" w:ascii="仿宋_GB2312" w:hAnsi="仿宋_GB2312" w:eastAsia="仿宋_GB2312" w:cs="仿宋_GB2312"/>
          <w:sz w:val="32"/>
          <w:szCs w:val="32"/>
          <w:lang w:val="en-US" w:eastAsia="zh-CN"/>
        </w:rPr>
        <w:t>,高质量完成区暗访巡查发现的问题隐患整改任务。</w:t>
      </w:r>
      <w:r>
        <w:rPr>
          <w:rFonts w:hint="eastAsia" w:ascii="仿宋_GB2312" w:hAnsi="仿宋_GB2312" w:eastAsia="仿宋_GB2312" w:cs="仿宋_GB2312"/>
          <w:sz w:val="32"/>
          <w:szCs w:val="32"/>
        </w:rPr>
        <w:t>坚持条块结合，发挥有关部门专业优势和牵头部门的统筹协调作用，形成治理合力。完善专班工作机制，定期调度通报，加强工作推动。将安全整治任务落实情况和工作成效纳入对</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各安委成员单位、各</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安全生产巡查考核重点内容。</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安委办会同各有关部门分工负责）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sz w:val="32"/>
          <w:szCs w:val="32"/>
        </w:rPr>
        <w:t>深入开展驻点督导。对近年来安全生产问题和风险隐患突出、事故多发的</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安委办派出工作组实施驻点督导，同时组织由相关部门牵头的专家指导组，制定工作指导方案，抓住重点难点问题开展针对性帮扶，并适时组织开展“回头看”，及时总结典型做法，以点带面扩大整治成效。</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安委办会同各有关部门分工负责）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sz w:val="32"/>
          <w:szCs w:val="32"/>
        </w:rPr>
        <w:t>突出重点开展明查暗访。针对“五一”、国庆等重点节假日，以及建党 100 周年等重大活动等关键节点，强化工作部署，建立健全重点时段安全生产调度制度，针对性组织开展安全生产明查暗访，切实推动安全防范各项任务措施落实落地。抓住典型事故中暴露出的突出矛盾问题，举一反三，查找制度漏洞和监管短板，及时组织开展专项督导检查，坚决防范化解各类安全风险。</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安委办会同各有关部门分工负责）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624" w:hanging="10"/>
        <w:textAlignment w:val="auto"/>
        <w:rPr>
          <w:rFonts w:hint="eastAsia" w:ascii="黑体" w:hAnsi="黑体" w:eastAsia="黑体" w:cs="黑体"/>
          <w:sz w:val="32"/>
          <w:szCs w:val="32"/>
        </w:rPr>
      </w:pPr>
      <w:r>
        <w:rPr>
          <w:rFonts w:hint="eastAsia" w:ascii="黑体" w:hAnsi="黑体" w:eastAsia="黑体" w:cs="黑体"/>
          <w:sz w:val="32"/>
          <w:szCs w:val="32"/>
        </w:rPr>
        <w:t>四、强化监管执法，全力防控安全风险</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t>严格危险化学品安全监管。认真落实中央《意见》和</w:t>
      </w:r>
      <w:r>
        <w:rPr>
          <w:rFonts w:hint="eastAsia" w:ascii="仿宋_GB2312" w:hAnsi="仿宋_GB2312" w:eastAsia="仿宋_GB2312" w:cs="仿宋_GB2312"/>
          <w:sz w:val="32"/>
          <w:szCs w:val="32"/>
          <w:lang w:eastAsia="zh-CN"/>
        </w:rPr>
        <w:t>湖南</w:t>
      </w:r>
      <w:r>
        <w:rPr>
          <w:rFonts w:hint="eastAsia" w:ascii="仿宋_GB2312" w:hAnsi="仿宋_GB2312" w:eastAsia="仿宋_GB2312" w:cs="仿宋_GB2312"/>
          <w:sz w:val="32"/>
          <w:szCs w:val="32"/>
        </w:rPr>
        <w:t>省《实施意见》以及危险化学品安全生产专项整治三年行动要求，加强危险化学品生产、贮存、使用、经营、运输、处置等全过程、全链条安全风险隐患排查治理，常态化开展重大危险源集中检查督导，推进重大危险源企业联合监管，打好危险化学品安全综合治理攻坚战。深化油气储存企业安全风险隐患排查整治，构建打击整治非法违法“小化工”长效机制。落实企业“一图一表一清单一报告”，并将工作成果推广运用到化工医药重点企业。深入开展《湖南省危险化学品安全监管知识手册》宣讲，切实提高危化行业安全监管人员的专业能力。</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街安监站</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经贸办、城管办、派出所、执法中队、有关部门</w:t>
      </w:r>
      <w:r>
        <w:rPr>
          <w:rFonts w:hint="eastAsia" w:eastAsia="楷体_GB2312"/>
          <w:b/>
          <w:bCs/>
          <w:color w:val="000000"/>
          <w:sz w:val="32"/>
          <w:szCs w:val="32"/>
          <w:lang w:eastAsia="zh-CN"/>
        </w:rPr>
        <w:t>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17" w:right="-17" w:firstLine="618"/>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sz w:val="32"/>
          <w:szCs w:val="32"/>
        </w:rPr>
        <w:t>强化交通运输领域安全治理。深入推进“两客一危一货” 以及总质量 4.5 吨及以下普通货运车辆治理，严查“三超一疲劳”、无牌无证以及货车“大吨小标”、违法载人等行为。持续推进公路安全生命防护工程建设、着力解决一批事故风险突出路段安全隐患。严厉打击违法违规生产销售改装货车、危险化学品罐车等行为，加大对城市重点道口“平改立”和线路封闭的推进力度。持续巩固马路市场整治成果，严防马路市场“死灰复燃”</w:t>
      </w:r>
      <w:r>
        <w:rPr>
          <w:rFonts w:hint="eastAsia" w:ascii="仿宋_GB2312" w:hAnsi="仿宋_GB2312" w:eastAsia="仿宋_GB2312" w:cs="仿宋_GB2312"/>
          <w:sz w:val="32"/>
          <w:szCs w:val="32"/>
          <w:lang w:eastAsia="zh-CN"/>
        </w:rPr>
        <w:t>。</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城管办、执法中队</w:t>
      </w:r>
      <w:r>
        <w:rPr>
          <w:rFonts w:hint="eastAsia" w:eastAsia="楷体_GB2312"/>
          <w:b/>
          <w:bCs/>
          <w:color w:val="000000"/>
          <w:sz w:val="32"/>
          <w:szCs w:val="32"/>
          <w:lang w:eastAsia="zh-CN"/>
        </w:rPr>
        <w:t>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sz w:val="32"/>
          <w:szCs w:val="32"/>
        </w:rPr>
        <w:t>持续深化建设领域安全治理。严厉打击建设工程违法分包转包、违规压缩工期等行为。加快城市地下老旧管网改造，加强燃气、污水管网等市政公用设施运行维护安全。扎实排查利用原有建筑物改建为酒店、饭店、学校等人员密集场所安全隐患，依法查处违法建设以及违规改变建筑主体结构或使用功能等造成安全隐患行为。</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城管办</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sz w:val="32"/>
          <w:szCs w:val="32"/>
        </w:rPr>
        <w:t>深化重点领域消防安全综合治理。持续推进打通消防生命通道工程，紧盯老旧小区实行“一区一策”治理督办。紧盯高层建筑、商业综合体、“三合一场所”、</w:t>
      </w:r>
      <w:r>
        <w:rPr>
          <w:rFonts w:hint="eastAsia" w:ascii="仿宋_GB2312" w:hAnsi="仿宋_GB2312" w:eastAsia="仿宋_GB2312" w:cs="仿宋_GB2312"/>
          <w:sz w:val="32"/>
          <w:szCs w:val="32"/>
          <w:lang w:eastAsia="zh-CN"/>
        </w:rPr>
        <w:t>仓库（厂房）、</w:t>
      </w:r>
      <w:r>
        <w:rPr>
          <w:rFonts w:hint="eastAsia" w:ascii="仿宋_GB2312" w:hAnsi="仿宋_GB2312" w:eastAsia="仿宋_GB2312" w:cs="仿宋_GB2312"/>
          <w:sz w:val="32"/>
          <w:szCs w:val="32"/>
        </w:rPr>
        <w:t>电动自行车等重点，完善基层网格化火灾防控管理机制，及时清除各类火灾隐患。严厉打击违反规定使用明火作业或者在具有火灾、爆炸危险的场所吸烟、使用明火，以及生产、销售、使用不合格的消防产品或者国家明令淘汰的消防产品等非法违法行为。开展彩钢板可燃材料装修排查摸底，对违规行为坚决依法督促拆除整改。</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综治办、城管办、派出所</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sz w:val="32"/>
          <w:szCs w:val="32"/>
        </w:rPr>
        <w:t>深化其他行业领域安全风险隐患排查治理。以建材、机械等行业，高温熔融、粉尘涉爆以及有限空间作业等为重点，强化工贸企业安全隐患整治，强化专项执法检查</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安监站</w:t>
      </w:r>
      <w:r>
        <w:rPr>
          <w:rFonts w:hint="eastAsia" w:eastAsia="楷体_GB2312"/>
          <w:b/>
          <w:bCs/>
          <w:color w:val="000000"/>
          <w:sz w:val="32"/>
          <w:szCs w:val="32"/>
          <w:lang w:eastAsia="zh-CN"/>
        </w:rPr>
        <w:t>）。</w:t>
      </w:r>
      <w:r>
        <w:rPr>
          <w:rFonts w:hint="eastAsia" w:ascii="仿宋_GB2312" w:hAnsi="仿宋_GB2312" w:eastAsia="仿宋_GB2312" w:cs="仿宋_GB2312"/>
          <w:sz w:val="32"/>
          <w:szCs w:val="32"/>
        </w:rPr>
        <w:t>加强瓶装液化石油气安全管理，组织开展电梯工作制动器、起重机械、危化品相关移动式压力容器等专项排查整治</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城管执法中队、市场监督管理所</w:t>
      </w:r>
      <w:r>
        <w:rPr>
          <w:rFonts w:hint="eastAsia" w:eastAsia="楷体_GB2312"/>
          <w:b/>
          <w:bCs/>
          <w:color w:val="000000"/>
          <w:sz w:val="32"/>
          <w:szCs w:val="32"/>
          <w:lang w:eastAsia="zh-CN"/>
        </w:rPr>
        <w:t>负责）。</w:t>
      </w:r>
      <w:r>
        <w:rPr>
          <w:rFonts w:hint="eastAsia" w:ascii="仿宋_GB2312" w:hAnsi="仿宋_GB2312" w:eastAsia="仿宋_GB2312" w:cs="仿宋_GB2312"/>
          <w:sz w:val="32"/>
          <w:szCs w:val="32"/>
        </w:rPr>
        <w:t>强化游乐场所及旅游景区设备设施常态化安全隐患排查</w:t>
      </w:r>
      <w:r>
        <w:rPr>
          <w:rFonts w:hint="eastAsia" w:ascii="仿宋_GB2312" w:hAnsi="仿宋_GB2312" w:eastAsia="仿宋_GB2312" w:cs="仿宋_GB2312"/>
          <w:sz w:val="32"/>
          <w:szCs w:val="32"/>
          <w:lang w:eastAsia="zh-CN"/>
        </w:rPr>
        <w:t>。</w:t>
      </w:r>
      <w:r>
        <w:rPr>
          <w:rFonts w:hint="eastAsia" w:eastAsia="楷体_GB2312"/>
          <w:b/>
          <w:bCs/>
          <w:color w:val="000000"/>
          <w:sz w:val="32"/>
          <w:szCs w:val="32"/>
          <w:lang w:eastAsia="zh-CN"/>
        </w:rPr>
        <w:t>（市场监管</w:t>
      </w:r>
      <w:r>
        <w:rPr>
          <w:rFonts w:hint="eastAsia" w:eastAsia="楷体_GB2312"/>
          <w:b/>
          <w:bCs/>
          <w:color w:val="000000"/>
          <w:sz w:val="32"/>
          <w:szCs w:val="32"/>
          <w:lang w:val="en-US" w:eastAsia="zh-CN"/>
        </w:rPr>
        <w:t>所</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公共服务办</w:t>
      </w:r>
      <w:r>
        <w:rPr>
          <w:rFonts w:hint="eastAsia" w:eastAsia="楷体_GB2312"/>
          <w:b/>
          <w:bCs/>
          <w:color w:val="000000"/>
          <w:sz w:val="32"/>
          <w:szCs w:val="32"/>
          <w:lang w:eastAsia="zh-CN"/>
        </w:rPr>
        <w:t>、执法</w:t>
      </w:r>
      <w:r>
        <w:rPr>
          <w:rFonts w:hint="eastAsia" w:eastAsia="楷体_GB2312"/>
          <w:b/>
          <w:bCs/>
          <w:color w:val="000000"/>
          <w:sz w:val="32"/>
          <w:szCs w:val="32"/>
          <w:lang w:val="en-US" w:eastAsia="zh-CN"/>
        </w:rPr>
        <w:t>中队</w:t>
      </w:r>
      <w:r>
        <w:rPr>
          <w:rFonts w:hint="eastAsia" w:eastAsia="楷体_GB2312"/>
          <w:b/>
          <w:bCs/>
          <w:color w:val="000000"/>
          <w:sz w:val="32"/>
          <w:szCs w:val="32"/>
          <w:lang w:eastAsia="zh-CN"/>
        </w:rPr>
        <w:t>等有关部门分工负责）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val="en-US" w:eastAsia="zh-CN"/>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val="0"/>
          <w:bCs/>
          <w:sz w:val="32"/>
          <w:szCs w:val="32"/>
          <w:lang w:val="en-US" w:eastAsia="zh-CN"/>
        </w:rPr>
        <w:t>深化临建违建仓库厂房整治。</w:t>
      </w:r>
      <w:r>
        <w:rPr>
          <w:rFonts w:hint="eastAsia" w:ascii="仿宋_GB2312" w:hAnsi="仿宋_GB2312" w:eastAsia="仿宋_GB2312" w:cs="仿宋_GB2312"/>
          <w:sz w:val="32"/>
          <w:szCs w:val="32"/>
          <w:lang w:val="en-US" w:eastAsia="zh-CN"/>
        </w:rPr>
        <w:t>继续落实“五条断然措施”要求，深化临建、违建仓库厂房整治。按照“拆除一批、关停一批、整改一批”三个一批要求，依法拆除一批未经规划审批、许可以及临建手续过期的仓库厂房，查处一批“三合一”等存在重大火灾隐患仓库厂房，集中整改一批安全管理不到位的生产经营单位，关停一批不具备安全生产条件的生产经营单位。</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城管执法</w:t>
      </w:r>
      <w:r>
        <w:rPr>
          <w:rFonts w:hint="eastAsia" w:eastAsia="楷体_GB2312"/>
          <w:b/>
          <w:bCs/>
          <w:color w:val="000000"/>
          <w:sz w:val="32"/>
          <w:szCs w:val="32"/>
          <w:lang w:val="en-US" w:eastAsia="zh-CN"/>
        </w:rPr>
        <w:t>中队</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城管、综治、安监、社区</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sz w:val="32"/>
          <w:szCs w:val="32"/>
          <w:lang w:val="en-US" w:eastAsia="zh-CN"/>
        </w:rPr>
        <w:t>全力防范自然灾害引发安全事故。进一步健全安全风险监测预警联动机制，重点强化对水灾、旱灾、地质灾害、森林火灾等灾种的监测预警，在防汛抗旱、森林防灭火、防震减灾监督检查中加强安全防范。开展森林火源管控专项治理，加强会商研判，严防自然灾害引发群死群伤事故。</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安监、城管、综治等部门</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624" w:hanging="10"/>
        <w:textAlignment w:val="auto"/>
        <w:rPr>
          <w:rFonts w:hint="eastAsia" w:ascii="黑体" w:hAnsi="黑体" w:eastAsia="黑体" w:cs="黑体"/>
          <w:sz w:val="32"/>
          <w:szCs w:val="32"/>
        </w:rPr>
      </w:pPr>
      <w:r>
        <w:rPr>
          <w:rFonts w:hint="eastAsia" w:ascii="黑体" w:hAnsi="黑体" w:eastAsia="黑体" w:cs="黑体"/>
          <w:sz w:val="32"/>
          <w:szCs w:val="32"/>
        </w:rPr>
        <w:t>五、夯实基层基础，提升本质安全水平</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t>加强安全生产宣传教育培训。充分发挥传统媒体、行业媒体作用，强化安全宣传。创新开展“安全生产月”、“安康杯”竞赛、“全国消防安全日”“安全生产法宣传周”“全国交通安全日”等主题宣传活动。健全完善公民安全教育体系，推动灾害事故科普宣传教育和安全体验基地场馆建设，将安全元素融入社区公园、广场、等公共设施。</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街道各部门、各社区</w:t>
      </w:r>
      <w:r>
        <w:rPr>
          <w:rFonts w:hint="eastAsia" w:eastAsia="楷体_GB2312"/>
          <w:b/>
          <w:bCs/>
          <w:color w:val="000000"/>
          <w:sz w:val="32"/>
          <w:szCs w:val="32"/>
          <w:lang w:eastAsia="zh-CN"/>
        </w:rPr>
        <w:t>负责）。</w:t>
      </w:r>
      <w:r>
        <w:rPr>
          <w:rFonts w:hint="eastAsia" w:ascii="仿宋_GB2312" w:hAnsi="仿宋_GB2312" w:eastAsia="仿宋_GB2312" w:cs="仿宋_GB2312"/>
          <w:sz w:val="32"/>
          <w:szCs w:val="32"/>
        </w:rPr>
        <w:t>实施高危行业领域安全技能提升行动计划，推动提升企业职工安全素质。</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安监站、人力社会保障站、公共服务办、经贸办</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sz w:val="32"/>
          <w:szCs w:val="32"/>
        </w:rPr>
        <w:t>深化安全发展工作示范创建。培育和创建省、市级安全生产示范街道，适时组织开展示范创建“回头看”。积极参与安全发展示范城市试点创建工作</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安委办、街道分工负责）</w:t>
      </w:r>
      <w:r>
        <w:rPr>
          <w:rFonts w:hint="eastAsia" w:ascii="仿宋_GB2312" w:hAnsi="仿宋_GB2312" w:eastAsia="仿宋_GB2312" w:cs="仿宋_GB2312"/>
          <w:sz w:val="32"/>
          <w:szCs w:val="32"/>
        </w:rPr>
        <w:t>扎实开展尘肺病防治攻坚行动，推进健康企业建设。</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w:t>
      </w:r>
      <w:r>
        <w:rPr>
          <w:rFonts w:hint="eastAsia" w:eastAsia="楷体_GB2312"/>
          <w:b/>
          <w:bCs/>
          <w:color w:val="000000"/>
          <w:sz w:val="32"/>
          <w:szCs w:val="32"/>
          <w:lang w:eastAsia="zh-CN"/>
        </w:rPr>
        <w:t>卫生健康</w:t>
      </w:r>
      <w:r>
        <w:rPr>
          <w:rFonts w:hint="eastAsia" w:eastAsia="楷体_GB2312"/>
          <w:b/>
          <w:bCs/>
          <w:color w:val="000000"/>
          <w:sz w:val="32"/>
          <w:szCs w:val="32"/>
          <w:lang w:val="en-US" w:eastAsia="zh-CN"/>
        </w:rPr>
        <w:t>中心</w:t>
      </w:r>
      <w:r>
        <w:rPr>
          <w:rFonts w:hint="eastAsia" w:eastAsia="楷体_GB2312"/>
          <w:b/>
          <w:bCs/>
          <w:color w:val="000000"/>
          <w:sz w:val="32"/>
          <w:szCs w:val="32"/>
          <w:lang w:eastAsia="zh-CN"/>
        </w:rPr>
        <w:t>会同各有关部门分工负责）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sz w:val="32"/>
          <w:szCs w:val="32"/>
        </w:rPr>
        <w:t>加强安全生产基层组织保障。推动开展以“六有”（有班子、有机制、有预案、有队伍、有物资、有培训演练）为主要内容的街道应急管理能力标准化建设，</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根据实际情况和需要，按标准设立消防救援站；开展以三有（有场地设施、有装备物质、有工作制度）为主要内容的示范行政社区应急志愿服务队伍建设，夯实安全生产基层组织保障。</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街安监站</w:t>
      </w:r>
      <w:r>
        <w:rPr>
          <w:rFonts w:hint="eastAsia" w:eastAsia="楷体_GB2312"/>
          <w:b/>
          <w:bCs/>
          <w:color w:val="000000"/>
          <w:sz w:val="32"/>
          <w:szCs w:val="32"/>
          <w:lang w:eastAsia="zh-CN"/>
        </w:rPr>
        <w:t>牵头，</w:t>
      </w:r>
      <w:r>
        <w:rPr>
          <w:rFonts w:hint="eastAsia" w:eastAsia="楷体_GB2312"/>
          <w:b/>
          <w:bCs/>
          <w:color w:val="000000"/>
          <w:sz w:val="32"/>
          <w:szCs w:val="32"/>
          <w:lang w:val="en-US" w:eastAsia="zh-CN"/>
        </w:rPr>
        <w:t>党政办、公共安全办、公共服务办、各社区</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0" w:leftChars="0" w:right="151" w:firstLine="643" w:firstLineChars="200"/>
        <w:jc w:val="both"/>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sz w:val="32"/>
          <w:szCs w:val="32"/>
        </w:rPr>
        <w:t>强化社会化风险防控。健全落实安全风险“吹哨人”制度和举报奖励政策。建立明查暗访工作常态化新闻报道机制，加大安全风险隐患和典型生产安全事故的曝光力度。</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街道安监站负责</w:t>
      </w:r>
      <w:r>
        <w:rPr>
          <w:rFonts w:hint="eastAsia" w:eastAsia="楷体_GB2312"/>
          <w:b/>
          <w:bCs/>
          <w:color w:val="000000"/>
          <w:sz w:val="32"/>
          <w:szCs w:val="32"/>
          <w:lang w:eastAsia="zh-CN"/>
        </w:rPr>
        <w:t>）。</w:t>
      </w:r>
      <w:r>
        <w:rPr>
          <w:rFonts w:hint="eastAsia" w:ascii="仿宋_GB2312" w:hAnsi="仿宋_GB2312" w:eastAsia="仿宋_GB2312" w:cs="仿宋_GB2312"/>
          <w:sz w:val="32"/>
          <w:szCs w:val="32"/>
        </w:rPr>
        <w:t>加大安责险推广力度</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街道安监站、城管办</w:t>
      </w:r>
      <w:r>
        <w:rPr>
          <w:rFonts w:hint="eastAsia" w:eastAsia="楷体_GB2312"/>
          <w:b/>
          <w:bCs/>
          <w:color w:val="000000"/>
          <w:sz w:val="32"/>
          <w:szCs w:val="32"/>
          <w:lang w:eastAsia="zh-CN"/>
        </w:rPr>
        <w:t>负责）。</w:t>
      </w:r>
      <w:r>
        <w:rPr>
          <w:rFonts w:hint="eastAsia" w:ascii="仿宋_GB2312" w:hAnsi="仿宋_GB2312" w:eastAsia="仿宋_GB2312" w:cs="仿宋_GB2312"/>
          <w:sz w:val="32"/>
          <w:szCs w:val="32"/>
        </w:rPr>
        <w:t>强化安全生产领域失信联合惩戒及违法失信行为信息公开，杜绝违法失信企业“屡禁不止、屡罚不改”现象。</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街道经贸办、市监所、安监站会同各有关部门分工</w:t>
      </w:r>
      <w:r>
        <w:rPr>
          <w:rFonts w:hint="eastAsia" w:eastAsia="楷体_GB2312"/>
          <w:b/>
          <w:bCs/>
          <w:color w:val="000000"/>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ind w:left="624" w:hanging="10"/>
        <w:textAlignment w:val="auto"/>
        <w:rPr>
          <w:rFonts w:hint="eastAsia" w:ascii="黑体" w:hAnsi="黑体" w:eastAsia="黑体" w:cs="黑体"/>
          <w:sz w:val="32"/>
          <w:szCs w:val="32"/>
        </w:rPr>
      </w:pPr>
      <w:r>
        <w:rPr>
          <w:rFonts w:hint="eastAsia" w:ascii="黑体" w:hAnsi="黑体" w:eastAsia="黑体" w:cs="黑体"/>
          <w:sz w:val="32"/>
          <w:szCs w:val="32"/>
        </w:rPr>
        <w:t>六、加强队伍建设，提升安全保障能力</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sz w:val="32"/>
          <w:szCs w:val="32"/>
        </w:rPr>
        <w:t>加强安全监管队伍作风建设。将政治建设和作风建设摆在首位，强化应急管理部门准军事化管理，推动各级负有安全监管职责的部门加强安全监管队伍建设，激励广大安全监管干部履职尽责，力戒官僚主义、形式主义，敢于动真碰硬、担当作为，争当维护人民群众生命财产安全的忠诚卫士。</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w:t>
      </w:r>
      <w:r>
        <w:rPr>
          <w:rFonts w:hint="eastAsia" w:eastAsia="楷体_GB2312"/>
          <w:b/>
          <w:bCs/>
          <w:color w:val="000000"/>
          <w:sz w:val="32"/>
          <w:szCs w:val="32"/>
          <w:lang w:eastAsia="zh-CN"/>
        </w:rPr>
        <w:t>各有关部门分工负责）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sz w:val="32"/>
          <w:szCs w:val="32"/>
        </w:rPr>
        <w:t>提升安全监管执法能力水平。推动各</w:t>
      </w:r>
      <w:r>
        <w:rPr>
          <w:rFonts w:hint="eastAsia" w:ascii="仿宋_GB2312" w:hAnsi="仿宋_GB2312" w:eastAsia="仿宋_GB2312" w:cs="仿宋_GB2312"/>
          <w:sz w:val="32"/>
          <w:szCs w:val="32"/>
          <w:lang w:eastAsia="zh-CN"/>
        </w:rPr>
        <w:t>街道各部门</w:t>
      </w:r>
      <w:r>
        <w:rPr>
          <w:rFonts w:hint="eastAsia" w:ascii="仿宋_GB2312" w:hAnsi="仿宋_GB2312" w:eastAsia="仿宋_GB2312" w:cs="仿宋_GB2312"/>
          <w:sz w:val="32"/>
          <w:szCs w:val="32"/>
        </w:rPr>
        <w:t>配齐配强安全监管专业人员和执法力量。深入推进“互联网+监管”“执法+专家”，切实提高执法精准化、规范化、专业化水平。健全完善分类分级差异化执法机制，对高危行业领域和重点单位场所开展执法检查全覆盖，严防执法简单化、“一刀切”。推动加强安全监管执法人员常态化教育培训和实践锻炼，强化执法车辆、装备配备。</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街安监站</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各有关</w:t>
      </w:r>
      <w:r>
        <w:rPr>
          <w:rFonts w:hint="eastAsia" w:eastAsia="楷体_GB2312"/>
          <w:b/>
          <w:bCs/>
          <w:color w:val="000000"/>
          <w:sz w:val="32"/>
          <w:szCs w:val="32"/>
          <w:lang w:eastAsia="zh-CN"/>
        </w:rPr>
        <w:t>部门分工负责）</w:t>
      </w:r>
    </w:p>
    <w:p>
      <w:pPr>
        <w:keepNext w:val="0"/>
        <w:keepLines w:val="0"/>
        <w:pageBreakBefore w:val="0"/>
        <w:widowControl w:val="0"/>
        <w:kinsoku/>
        <w:wordWrap/>
        <w:overflowPunct/>
        <w:topLinePunct w:val="0"/>
        <w:autoSpaceDE/>
        <w:autoSpaceDN/>
        <w:bidi w:val="0"/>
        <w:adjustRightInd/>
        <w:snapToGrid/>
        <w:spacing w:beforeAutospacing="0" w:after="0" w:line="600" w:lineRule="exact"/>
        <w:textAlignment w:val="auto"/>
        <w:rPr>
          <w:rFonts w:hint="eastAsia" w:eastAsia="楷体_GB2312"/>
          <w:b/>
          <w:bCs/>
          <w:color w:val="000000"/>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sz w:val="32"/>
          <w:szCs w:val="32"/>
        </w:rPr>
        <w:t>提升应急救援能力。加强综合性消防救援队伍建设，加大先进适用装备配备力度。</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街道综治办</w:t>
      </w:r>
      <w:r>
        <w:rPr>
          <w:rFonts w:hint="eastAsia" w:eastAsia="楷体_GB2312"/>
          <w:b/>
          <w:bCs/>
          <w:color w:val="000000"/>
          <w:sz w:val="32"/>
          <w:szCs w:val="32"/>
          <w:lang w:eastAsia="zh-CN"/>
        </w:rPr>
        <w:t>负责）。</w:t>
      </w:r>
      <w:r>
        <w:rPr>
          <w:rFonts w:hint="eastAsia" w:ascii="仿宋_GB2312" w:hAnsi="仿宋_GB2312" w:eastAsia="仿宋_GB2312" w:cs="仿宋_GB2312"/>
          <w:sz w:val="32"/>
          <w:szCs w:val="32"/>
        </w:rPr>
        <w:t>推动高危企业建立健全应急救援队伍，配备应急救援装备和器材。支持推动社会应急力量发展，完善救援补偿、保险保障、奖惩激励、协调联动机制，规范引导有序参与应急救援行动</w:t>
      </w:r>
      <w:r>
        <w:rPr>
          <w:rFonts w:hint="eastAsia" w:eastAsia="楷体_GB2312"/>
          <w:b w:val="0"/>
          <w:bCs w:val="0"/>
          <w:color w:val="000000"/>
          <w:sz w:val="32"/>
          <w:szCs w:val="32"/>
          <w:lang w:eastAsia="zh-CN"/>
        </w:rPr>
        <w:t>。</w:t>
      </w:r>
      <w:r>
        <w:rPr>
          <w:rFonts w:hint="eastAsia" w:eastAsia="楷体_GB2312"/>
          <w:b/>
          <w:bCs/>
          <w:color w:val="000000"/>
          <w:sz w:val="32"/>
          <w:szCs w:val="32"/>
          <w:lang w:eastAsia="zh-CN"/>
        </w:rPr>
        <w:t>（</w:t>
      </w:r>
      <w:r>
        <w:rPr>
          <w:rFonts w:hint="eastAsia" w:eastAsia="楷体_GB2312"/>
          <w:b/>
          <w:bCs/>
          <w:color w:val="000000"/>
          <w:sz w:val="32"/>
          <w:szCs w:val="32"/>
          <w:lang w:val="en-US" w:eastAsia="zh-CN"/>
        </w:rPr>
        <w:t>街道安监站会同相关部门</w:t>
      </w:r>
      <w:r>
        <w:rPr>
          <w:rFonts w:hint="eastAsia" w:eastAsia="楷体_GB2312"/>
          <w:b/>
          <w:bCs/>
          <w:color w:val="000000"/>
          <w:sz w:val="32"/>
          <w:szCs w:val="32"/>
          <w:lang w:eastAsia="zh-CN"/>
        </w:rPr>
        <w:t>负责）</w:t>
      </w:r>
    </w:p>
    <w:p>
      <w:pPr>
        <w:pStyle w:val="9"/>
        <w:pageBreakBefore w:val="0"/>
        <w:kinsoku/>
        <w:wordWrap/>
        <w:overflowPunct/>
        <w:topLinePunct w:val="0"/>
        <w:autoSpaceDE/>
        <w:autoSpaceDN/>
        <w:bidi w:val="0"/>
        <w:spacing w:before="0" w:beforeAutospacing="0" w:line="600" w:lineRule="exact"/>
        <w:textAlignment w:val="auto"/>
        <w:rPr>
          <w:rFonts w:hint="eastAsia" w:eastAsia="楷体_GB2312"/>
          <w:b/>
          <w:bCs/>
          <w:color w:val="000000"/>
          <w:sz w:val="32"/>
          <w:szCs w:val="32"/>
          <w:lang w:eastAsia="zh-CN"/>
        </w:rPr>
      </w:pPr>
    </w:p>
    <w:p>
      <w:pPr>
        <w:pStyle w:val="9"/>
        <w:pageBreakBefore w:val="0"/>
        <w:kinsoku/>
        <w:wordWrap/>
        <w:overflowPunct/>
        <w:topLinePunct w:val="0"/>
        <w:autoSpaceDE/>
        <w:autoSpaceDN/>
        <w:bidi w:val="0"/>
        <w:spacing w:before="0" w:beforeAutospacing="0" w:line="600" w:lineRule="exact"/>
        <w:ind w:left="0" w:leftChars="0" w:firstLine="0" w:firstLineChars="0"/>
        <w:textAlignment w:val="auto"/>
        <w:rPr>
          <w:rFonts w:hint="eastAsia" w:eastAsia="楷体_GB2312"/>
          <w:b/>
          <w:bCs/>
          <w:color w:val="000000"/>
          <w:sz w:val="32"/>
          <w:szCs w:val="32"/>
          <w:lang w:eastAsia="zh-CN"/>
        </w:rPr>
      </w:pPr>
    </w:p>
    <w:p>
      <w:pPr>
        <w:pStyle w:val="9"/>
        <w:pageBreakBefore w:val="0"/>
        <w:kinsoku/>
        <w:wordWrap/>
        <w:overflowPunct/>
        <w:topLinePunct w:val="0"/>
        <w:autoSpaceDE/>
        <w:autoSpaceDN/>
        <w:bidi w:val="0"/>
        <w:spacing w:before="0" w:beforeAutospacing="0" w:line="600" w:lineRule="exact"/>
        <w:ind w:left="0" w:leftChars="0" w:firstLine="0" w:firstLineChars="0"/>
        <w:textAlignment w:val="auto"/>
        <w:rPr>
          <w:rFonts w:hint="eastAsia" w:ascii="仿宋_GB2312" w:hAnsi="仿宋_GB2312" w:eastAsia="仿宋_GB2312" w:cs="仿宋_GB2312"/>
          <w:sz w:val="28"/>
          <w:szCs w:val="28"/>
        </w:rPr>
      </w:pPr>
    </w:p>
    <w:p>
      <w:pPr>
        <w:pStyle w:val="9"/>
        <w:pageBreakBefore w:val="0"/>
        <w:kinsoku/>
        <w:wordWrap/>
        <w:overflowPunct/>
        <w:topLinePunct w:val="0"/>
        <w:autoSpaceDE/>
        <w:autoSpaceDN/>
        <w:bidi w:val="0"/>
        <w:spacing w:before="0" w:beforeAutospacing="0" w:line="600" w:lineRule="exact"/>
        <w:ind w:left="0" w:leftChars="0" w:firstLine="0" w:firstLineChars="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0" w:firstLineChars="0"/>
        <w:textAlignment w:val="auto"/>
        <w:rPr>
          <w:rFonts w:hint="eastAsia" w:ascii="Times New Roman" w:hAnsi="Times New Roman" w:cs="Times New Roman"/>
          <w:lang w:eastAsia="zh-CN"/>
        </w:rPr>
      </w:pPr>
    </w:p>
    <w:sectPr>
      <w:footerReference r:id="rId7" w:type="first"/>
      <w:footerReference r:id="rId5" w:type="default"/>
      <w:footerReference r:id="rId6" w:type="even"/>
      <w:pgSz w:w="11906" w:h="16838"/>
      <w:pgMar w:top="1440" w:right="1803" w:bottom="1440" w:left="1803" w:header="720" w:footer="720" w:gutter="0"/>
      <w:pgNumType w:fmt="numberInDash"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76"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78"/>
    <w:rsid w:val="000C1526"/>
    <w:rsid w:val="000D420C"/>
    <w:rsid w:val="001066E6"/>
    <w:rsid w:val="00111123"/>
    <w:rsid w:val="001675CB"/>
    <w:rsid w:val="001C3278"/>
    <w:rsid w:val="001D1418"/>
    <w:rsid w:val="00303135"/>
    <w:rsid w:val="00395D0E"/>
    <w:rsid w:val="003A0672"/>
    <w:rsid w:val="00412FDC"/>
    <w:rsid w:val="00422284"/>
    <w:rsid w:val="00475E15"/>
    <w:rsid w:val="0053728E"/>
    <w:rsid w:val="00556DAF"/>
    <w:rsid w:val="005721E9"/>
    <w:rsid w:val="00854A3B"/>
    <w:rsid w:val="008A708D"/>
    <w:rsid w:val="008D34EB"/>
    <w:rsid w:val="009D352A"/>
    <w:rsid w:val="00AB49AB"/>
    <w:rsid w:val="00B54106"/>
    <w:rsid w:val="00D01388"/>
    <w:rsid w:val="00D850EE"/>
    <w:rsid w:val="00DB5489"/>
    <w:rsid w:val="00DE204D"/>
    <w:rsid w:val="00F2382A"/>
    <w:rsid w:val="00FC2EA7"/>
    <w:rsid w:val="09286208"/>
    <w:rsid w:val="0A33418D"/>
    <w:rsid w:val="0A7110EF"/>
    <w:rsid w:val="0D7B642C"/>
    <w:rsid w:val="0DB94812"/>
    <w:rsid w:val="0F896712"/>
    <w:rsid w:val="10DB73F1"/>
    <w:rsid w:val="12812058"/>
    <w:rsid w:val="12E0050B"/>
    <w:rsid w:val="14930CCC"/>
    <w:rsid w:val="172C201B"/>
    <w:rsid w:val="187254DF"/>
    <w:rsid w:val="1A91223A"/>
    <w:rsid w:val="1BE40FFD"/>
    <w:rsid w:val="2051092B"/>
    <w:rsid w:val="23F975C7"/>
    <w:rsid w:val="25AD1615"/>
    <w:rsid w:val="26F45446"/>
    <w:rsid w:val="272F7341"/>
    <w:rsid w:val="28760AC4"/>
    <w:rsid w:val="2ACB12F9"/>
    <w:rsid w:val="2DDD07CB"/>
    <w:rsid w:val="316302FF"/>
    <w:rsid w:val="31933C9F"/>
    <w:rsid w:val="32C20DAC"/>
    <w:rsid w:val="339B1F4B"/>
    <w:rsid w:val="341549E0"/>
    <w:rsid w:val="34446FD0"/>
    <w:rsid w:val="378B1AB1"/>
    <w:rsid w:val="386D64F3"/>
    <w:rsid w:val="39505716"/>
    <w:rsid w:val="39C366C6"/>
    <w:rsid w:val="3C3B23E4"/>
    <w:rsid w:val="440D7F97"/>
    <w:rsid w:val="48B21C0E"/>
    <w:rsid w:val="493E00A8"/>
    <w:rsid w:val="4D6A2E3B"/>
    <w:rsid w:val="4D82647D"/>
    <w:rsid w:val="54547321"/>
    <w:rsid w:val="552C7254"/>
    <w:rsid w:val="58136720"/>
    <w:rsid w:val="59A03545"/>
    <w:rsid w:val="5EDB4D38"/>
    <w:rsid w:val="605970D7"/>
    <w:rsid w:val="62702B59"/>
    <w:rsid w:val="656E0D49"/>
    <w:rsid w:val="6718404A"/>
    <w:rsid w:val="671D4C5F"/>
    <w:rsid w:val="696C3FAF"/>
    <w:rsid w:val="6B3C61DA"/>
    <w:rsid w:val="6DF26469"/>
    <w:rsid w:val="6F70409B"/>
    <w:rsid w:val="7014349C"/>
    <w:rsid w:val="76014F33"/>
    <w:rsid w:val="7814326A"/>
    <w:rsid w:val="78225832"/>
    <w:rsid w:val="7C2C4C7F"/>
    <w:rsid w:val="7F66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51" w:line="376" w:lineRule="auto"/>
      <w:ind w:left="-15" w:right="-15" w:firstLine="619"/>
    </w:pPr>
    <w:rPr>
      <w:rFonts w:ascii="仿宋" w:hAnsi="仿宋" w:eastAsia="仿宋" w:cs="仿宋"/>
      <w:color w:val="000000"/>
      <w:kern w:val="2"/>
      <w:sz w:val="32"/>
      <w:szCs w:val="22"/>
      <w:lang w:val="en-US" w:eastAsia="zh-CN" w:bidi="ar-SA"/>
    </w:rPr>
  </w:style>
  <w:style w:type="paragraph" w:styleId="4">
    <w:name w:val="heading 1"/>
    <w:next w:val="1"/>
    <w:link w:val="12"/>
    <w:unhideWhenUsed/>
    <w:qFormat/>
    <w:uiPriority w:val="9"/>
    <w:pPr>
      <w:keepNext/>
      <w:keepLines/>
      <w:spacing w:after="65"/>
      <w:ind w:left="10" w:right="-15" w:hanging="10"/>
      <w:jc w:val="center"/>
      <w:outlineLvl w:val="0"/>
    </w:pPr>
    <w:rPr>
      <w:rFonts w:ascii="Calibri" w:hAnsi="Calibri" w:eastAsia="Calibri" w:cs="Calibri"/>
      <w:color w:val="000000"/>
      <w:kern w:val="2"/>
      <w:sz w:val="44"/>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Body Text"/>
    <w:basedOn w:val="1"/>
    <w:qFormat/>
    <w:uiPriority w:val="0"/>
    <w:pPr>
      <w:spacing w:before="100" w:beforeAutospacing="1" w:after="120"/>
    </w:pPr>
    <w:rPr>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Autospacing="1" w:afterAutospacing="1"/>
      <w:jc w:val="left"/>
    </w:pPr>
    <w:rPr>
      <w:rFonts w:ascii="Calibri" w:hAnsi="Calibri" w:eastAsia="宋体" w:cs="Times New Roman"/>
      <w:kern w:val="0"/>
      <w:sz w:val="24"/>
      <w:szCs w:val="24"/>
    </w:rPr>
  </w:style>
  <w:style w:type="paragraph" w:styleId="9">
    <w:name w:val="Body Text First Indent"/>
    <w:basedOn w:val="5"/>
    <w:qFormat/>
    <w:uiPriority w:val="0"/>
    <w:pPr>
      <w:ind w:firstLine="664"/>
    </w:pPr>
  </w:style>
  <w:style w:type="character" w:customStyle="1" w:styleId="12">
    <w:name w:val="标题 1 Char"/>
    <w:link w:val="4"/>
    <w:qFormat/>
    <w:uiPriority w:val="0"/>
    <w:rPr>
      <w:rFonts w:ascii="Calibri" w:hAnsi="Calibri" w:eastAsia="Calibri" w:cs="Calibri"/>
      <w:color w:val="000000"/>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943</Words>
  <Characters>5380</Characters>
  <Lines>44</Lines>
  <Paragraphs>12</Paragraphs>
  <TotalTime>53</TotalTime>
  <ScaleCrop>false</ScaleCrop>
  <LinksUpToDate>false</LinksUpToDate>
  <CharactersWithSpaces>6311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2021-02-21T14:54:00Z</dcterms:created>
  <dc:creator>艺宣图文广告</dc:creator>
  <cp:lastModifiedBy>WPS_1613962090</cp:lastModifiedBy>
  <cp:lastPrinted>2021-03-12T03:55:00Z</cp:lastPrinted>
  <dcterms:modified xsi:type="dcterms:W3CDTF">2021-03-23T02:51:37Z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1107C3877A5A412780C124F4139CBC00</vt:lpwstr>
  </property>
</Properties>
</file>