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960" w:firstLineChars="200"/>
        <w:jc w:val="center"/>
        <w:textAlignment w:val="auto"/>
        <w:outlineLvl w:val="9"/>
        <w:rPr>
          <w:rFonts w:hint="default" w:ascii="仿宋" w:hAnsi="仿宋" w:eastAsia="仿宋" w:cs="仿宋"/>
          <w:b/>
          <w:bCs/>
          <w:sz w:val="48"/>
          <w:szCs w:val="48"/>
          <w:lang w:val="en-US" w:eastAsia="zh-CN"/>
        </w:rPr>
      </w:pPr>
      <w:r>
        <w:rPr>
          <w:rFonts w:hint="default" w:ascii="仿宋" w:hAnsi="仿宋" w:eastAsia="仿宋" w:cs="仿宋"/>
          <w:b/>
          <w:bCs/>
          <w:sz w:val="48"/>
          <w:szCs w:val="48"/>
          <w:lang w:val="en-US" w:eastAsia="zh-CN"/>
        </w:rPr>
        <w:t>2020年</w:t>
      </w:r>
      <w:r>
        <w:rPr>
          <w:rFonts w:hint="eastAsia" w:ascii="仿宋" w:hAnsi="仿宋" w:eastAsia="仿宋" w:cs="仿宋"/>
          <w:b/>
          <w:bCs/>
          <w:sz w:val="48"/>
          <w:szCs w:val="48"/>
          <w:lang w:val="en-US" w:eastAsia="zh-CN"/>
        </w:rPr>
        <w:t>长沙市开福区</w:t>
      </w:r>
      <w:r>
        <w:rPr>
          <w:rFonts w:hint="default" w:ascii="仿宋" w:hAnsi="仿宋" w:eastAsia="仿宋" w:cs="仿宋"/>
          <w:b/>
          <w:bCs/>
          <w:sz w:val="48"/>
          <w:szCs w:val="48"/>
          <w:lang w:val="en-US" w:eastAsia="zh-CN"/>
        </w:rPr>
        <w:t>湘雅路街道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960" w:firstLineChars="200"/>
        <w:jc w:val="center"/>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bCs/>
          <w:sz w:val="48"/>
          <w:szCs w:val="48"/>
          <w:lang w:val="en-US" w:eastAsia="zh-CN"/>
        </w:rPr>
        <w:t>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w:t>
      </w:r>
      <w:r>
        <w:rPr>
          <w:rFonts w:hint="default" w:ascii="黑体" w:hAnsi="黑体" w:eastAsia="黑体" w:cs="黑体"/>
          <w:b/>
          <w:bCs/>
          <w:kern w:val="0"/>
          <w:sz w:val="32"/>
          <w:szCs w:val="32"/>
          <w:lang w:val="en-US" w:eastAsia="zh-CN"/>
        </w:rPr>
        <w:t>  长沙市开福区湘雅路街道办事处</w:t>
      </w:r>
      <w:r>
        <w:rPr>
          <w:rFonts w:hint="eastAsia" w:ascii="黑体" w:hAnsi="黑体" w:eastAsia="黑体" w:cs="黑体"/>
          <w:b/>
          <w:bCs/>
          <w:kern w:val="0"/>
          <w:sz w:val="32"/>
          <w:szCs w:val="32"/>
          <w:lang w:val="en-US" w:eastAsia="zh-CN"/>
        </w:rPr>
        <w:t>部门</w:t>
      </w:r>
      <w:r>
        <w:rPr>
          <w:rFonts w:hint="default" w:ascii="黑体" w:hAnsi="黑体" w:eastAsia="黑体" w:cs="黑体"/>
          <w:b/>
          <w:bCs/>
          <w:kern w:val="0"/>
          <w:sz w:val="32"/>
          <w:szCs w:val="32"/>
          <w:lang w:val="en-US" w:eastAsia="zh-CN"/>
        </w:rPr>
        <w:t>概况</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883" w:firstLineChars="200"/>
        <w:jc w:val="center"/>
        <w:textAlignment w:val="auto"/>
        <w:outlineLvl w:val="9"/>
        <w:rPr>
          <w:rFonts w:hint="eastAsia" w:ascii="仿宋" w:hAnsi="仿宋" w:eastAsia="仿宋" w:cs="仿宋"/>
          <w:b w:val="0"/>
          <w:bCs w:val="0"/>
          <w:color w:val="auto"/>
          <w:kern w:val="2"/>
          <w:sz w:val="32"/>
          <w:szCs w:val="32"/>
          <w:lang w:val="en-US" w:eastAsia="zh-CN" w:bidi="ar-SA"/>
        </w:rPr>
      </w:pPr>
      <w:r>
        <w:rPr>
          <w:rFonts w:hint="eastAsia" w:ascii="黑体" w:hAnsi="黑体" w:eastAsia="黑体" w:cs="黑体"/>
          <w:b/>
          <w:bCs w:val="0"/>
          <w:kern w:val="0"/>
          <w:sz w:val="44"/>
          <w:szCs w:val="44"/>
          <w:lang w:val="en-US" w:eastAsia="zh-CN" w:bidi="ar-SA"/>
        </w:rPr>
        <w:t>第一部分</w:t>
      </w:r>
      <w:r>
        <w:rPr>
          <w:rFonts w:hint="default" w:ascii="黑体" w:hAnsi="黑体" w:eastAsia="黑体" w:cs="黑体"/>
          <w:b/>
          <w:bCs w:val="0"/>
          <w:kern w:val="0"/>
          <w:sz w:val="44"/>
          <w:szCs w:val="44"/>
          <w:lang w:val="en-US" w:eastAsia="zh-CN" w:bidi="ar-SA"/>
        </w:rPr>
        <w:t>  长沙市开福区湘雅路街道</w:t>
      </w:r>
      <w:r>
        <w:rPr>
          <w:rFonts w:hint="eastAsia" w:ascii="黑体" w:hAnsi="黑体" w:eastAsia="黑体" w:cs="黑体"/>
          <w:b/>
          <w:bCs w:val="0"/>
          <w:kern w:val="0"/>
          <w:sz w:val="44"/>
          <w:szCs w:val="44"/>
          <w:lang w:val="en-US" w:eastAsia="zh-CN" w:bidi="ar-SA"/>
        </w:rPr>
        <w:t>部门</w:t>
      </w:r>
      <w:r>
        <w:rPr>
          <w:rFonts w:hint="default" w:ascii="黑体" w:hAnsi="黑体" w:eastAsia="黑体" w:cs="黑体"/>
          <w:b/>
          <w:bCs w:val="0"/>
          <w:kern w:val="0"/>
          <w:sz w:val="44"/>
          <w:szCs w:val="44"/>
          <w:lang w:val="en-US" w:eastAsia="zh-CN" w:bidi="ar-SA"/>
        </w:rPr>
        <w:t>概况</w:t>
      </w:r>
    </w:p>
    <w:p>
      <w:pPr>
        <w:keepNext w:val="0"/>
        <w:keepLines w:val="0"/>
        <w:pageBreakBefore w:val="0"/>
        <w:widowControl/>
        <w:kinsoku/>
        <w:wordWrap/>
        <w:overflowPunct/>
        <w:topLinePunct w:val="0"/>
        <w:bidi w:val="0"/>
        <w:snapToGrid/>
        <w:spacing w:line="600" w:lineRule="exact"/>
        <w:ind w:left="0" w:leftChars="0" w:firstLine="838" w:firstLineChars="262"/>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（一）贯彻执行党和国家的路线方针政策及上级党委、政府的决定。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（二）负责编制街道办事处财政决算，经区政府批准后组织实施。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（三）社区管理。负责社区管理以及社区救助、社区文化、社区科普、社区教育、社区体育等工作；指导社区居民自治；加强社区工作者队伍建设，做好人员培训工作;协助下岗、失业人员再就业工作。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四）城市建设与管理。参与辖区内重点项目和其他投资项目的选址预审；拟定社区服务设施建设、辖区居住环境基础设施和公共设施建设计划，经有关部门批准后组织实施；负责辖区内除区建管局直接管理范围之外的市政、环境卫生、园林绿化等工作，保持市容市貌整洁卫生；负责物业监管工作；协助有关部门做好规划、环境保护、城建、房管等服务工作；协助做好居民动迁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（五）社会治安综合治理。负责平安街道建设，组织协调辖区内社会治安综合治理、消防、信访、人民调解和维护社会稳定等工作，负责做好辖区内的安全生产监督管理工作。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六）经济和社会事业服务。做好辖区内的经济发展和服务工作;负责为辖区内个人创业和企业的经营提供服务，为发展总部经济、楼宇经济、为打造特色街区营造良好环境；提供优质服务，促进税源经济发展;负责本辖区统计以及人口和计划生育等工作；负责协调有关部门做好本辖区食品安全、公共卫生、红十字工作；做好辖区内人民武装双拥共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七）应急管理工作。负责本辖区内各类突发公共事件的预防和应对工作；做好人民防空、防汛、防震、防灾、减灾、抢险救灾等工作；负责编制、修订本辖区内应急预案；根据工作需要负责组织建立应急队伍；负责组织开展应急预案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（八）完成区委、区政府交办的其他工作。</w:t>
      </w:r>
    </w:p>
    <w:p>
      <w:pPr>
        <w:keepNext w:val="0"/>
        <w:keepLines w:val="0"/>
        <w:pageBreakBefore w:val="0"/>
        <w:widowControl/>
        <w:kinsoku/>
        <w:wordWrap/>
        <w:overflowPunct/>
        <w:topLinePunct w:val="0"/>
        <w:bidi w:val="0"/>
        <w:snapToGrid/>
        <w:spacing w:line="600" w:lineRule="exact"/>
        <w:ind w:left="0" w:leftChars="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（一）内设机构设置。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湘雅路街道办事处内设机构包括：本街道由5个党政机构、1个执法机构及2个街道所属事业单位组成。党政机构设党政综合办公室、基层党建办公室、城市管理办公室（加挂区域建设服务办公室）、公共服务办公室（加挂行政审批服务办公室、优化营商环境服务办公室、退役军人服务站牌子）、公共安全办公室；执法机构设综合行政执法队；街道所属事业单位设街道政务服务中心（街道党群服务中心）、街道网格化综合服务中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党政综合办公室。负责街道机关党务和行政事务工作；负责政协联络工作；负责机关文电、机要、保密、信息、会务、档案、督查督办、党务政务公开、后勤保障等工作；负责绩效考核工作；负责重要事项的综合协调和重要文稿的起草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基层党建办公室。负责基层党的建设工作；负责宣传思想、意识形态、统一战线、民族宗教、网络安全工作；负责牵头开展辖区内精神文明建设工作；负责干部人事、机构编制、老干、关协和机关干部队伍建设等工作；组织协调辖区内群团组织开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城市管理办公室（加挂区域建设服务办公室）。主要负责市、区关于辖区发展重大建设规划的落实；负责规划建设、住房保障、物业管理、人民防空、城市人居环境改造等工作；组织实施和统筹协调城市综合管理工作，负责文明创建、市容环境、交通运输、市场监管、农林水务（河长制）、生态环境保护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4、公共服务办公室（加挂行政审批服务办公室、优化营商环境服务办公室、退役军人服务站牌子）。主要负责辖区内人力资源社会保障、民政、社会救助、教育、科技、文化、旅游、体育、卫生健康、医疗保障等工作；负责指导基层开展自治；负责辖区社会经济调查统计，优化区域发展环境；负责退役军人服务管理工作；负责行政审批事项的组织实施，指导街道政务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5、公共安全办公室。负责辖区内社会管理综合治理、维稳、防范邪教、司法、禁毒、应急管理、防汛抗旱、消防、信访以及遗留问题处置等工作；指导辖区内网格化综合管理工作。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街道按照有关规定或章程设置纪检监察、人大工委、人民武装部机构和工会、共青团、妇联等组织，并明确由街道班子成员分管。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6、综合行政执法队。负责统筹协调派驻机构和基层执法力量，开展联合执法工作。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7、街道政务服务中心，加挂街道党群服务中心牌子。主要负责与群众、驻街单位相关政务服务事项的办理工作；负责劳动保障和最低生活保障等工作；负责加强政府服务大厅建设，充分发挥综合便民服务作用，进一步拓展服务党组织和党员群众的功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8、街道网格化综合服务中心，主要负责网格化综合管理、数字化城市管理、12345市民热线等平台事务性、辅助性工作，负责线上、线下的巡查、指挥、调度和督办等工作，负责为各个平台运转提供技术支撑。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本部门编制数51人，在职人数57人，其中：在岗人数57人;编外长期聘用人员28人；离退休人数39人，其中离休人员1人，退休人员38人。全部纳入2020年部门预算编制范围.</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决算单位构成。</w:t>
      </w:r>
      <w:r>
        <w:rPr>
          <w:rFonts w:hint="default" w:ascii="仿宋" w:hAnsi="仿宋" w:eastAsia="仿宋" w:cs="仿宋"/>
          <w:b w:val="0"/>
          <w:bCs w:val="0"/>
          <w:color w:val="auto"/>
          <w:kern w:val="2"/>
          <w:sz w:val="32"/>
          <w:szCs w:val="32"/>
          <w:lang w:val="en-US" w:eastAsia="zh-CN" w:bidi="ar-SA"/>
        </w:rPr>
        <w:t>长沙市开福区湘雅路街道办事处2020年部门决算汇总公开单位构成包括：仅有长沙市开福区湘雅路街道办事处本级，无下级决算单位。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Chars="200" w:right="0" w:rightChars="0"/>
        <w:jc w:val="left"/>
        <w:textAlignment w:val="auto"/>
        <w:outlineLvl w:val="9"/>
        <w:rPr>
          <w:rFonts w:hint="eastAsia" w:ascii="仿宋" w:hAnsi="仿宋" w:eastAsia="仿宋" w:cs="仿宋"/>
          <w:b w:val="0"/>
          <w:bCs w:val="0"/>
          <w:color w:val="auto"/>
          <w:kern w:val="2"/>
          <w:sz w:val="32"/>
          <w:szCs w:val="32"/>
          <w:lang w:val="en-US" w:eastAsia="zh-CN" w:bidi="ar-SA"/>
        </w:rPr>
      </w:pPr>
    </w:p>
    <w:p>
      <w:pPr>
        <w:pStyle w:val="7"/>
        <w:keepNext w:val="0"/>
        <w:keepLines w:val="0"/>
        <w:pageBreakBefore w:val="0"/>
        <w:numPr>
          <w:ilvl w:val="0"/>
          <w:numId w:val="2"/>
        </w:numPr>
        <w:kinsoku/>
        <w:wordWrap/>
        <w:overflowPunct/>
        <w:topLinePunct w:val="0"/>
        <w:bidi w:val="0"/>
        <w:snapToGrid/>
        <w:spacing w:line="600" w:lineRule="exact"/>
        <w:ind w:left="0" w:leftChars="0"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部门决算表</w:t>
      </w:r>
    </w:p>
    <w:p>
      <w:pPr>
        <w:pStyle w:val="7"/>
        <w:keepNext w:val="0"/>
        <w:keepLines w:val="0"/>
        <w:pageBreakBefore w:val="0"/>
        <w:numPr>
          <w:ilvl w:val="0"/>
          <w:numId w:val="0"/>
        </w:numPr>
        <w:kinsoku/>
        <w:wordWrap/>
        <w:overflowPunct/>
        <w:topLinePunct w:val="0"/>
        <w:bidi w:val="0"/>
        <w:snapToGrid/>
        <w:spacing w:line="600" w:lineRule="exact"/>
        <w:ind w:left="0" w:leftChars="0" w:firstLine="640"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7"/>
        <w:keepNext w:val="0"/>
        <w:keepLines w:val="0"/>
        <w:pageBreakBefore w:val="0"/>
        <w:numPr>
          <w:ilvl w:val="0"/>
          <w:numId w:val="0"/>
        </w:numPr>
        <w:kinsoku/>
        <w:wordWrap/>
        <w:overflowPunct/>
        <w:topLinePunct w:val="0"/>
        <w:bidi w:val="0"/>
        <w:snapToGrid/>
        <w:spacing w:line="600" w:lineRule="exact"/>
        <w:ind w:left="0" w:leftChars="0" w:firstLine="640"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kinsoku/>
        <w:wordWrap/>
        <w:overflowPunct/>
        <w:topLinePunct w:val="0"/>
        <w:bidi w:val="0"/>
        <w:snapToGrid/>
        <w:spacing w:line="600" w:lineRule="exact"/>
        <w:ind w:left="0" w:leftChars="0" w:firstLine="883" w:firstLineChars="200"/>
        <w:jc w:val="center"/>
        <w:textAlignment w:val="auto"/>
        <w:rPr>
          <w:rFonts w:hint="eastAsia" w:ascii="仿宋" w:hAnsi="仿宋" w:eastAsia="仿宋" w:cs="仿宋"/>
          <w:b w:val="0"/>
          <w:bCs w:val="0"/>
          <w:color w:val="auto"/>
          <w:kern w:val="2"/>
          <w:sz w:val="32"/>
          <w:szCs w:val="32"/>
          <w:lang w:val="en-US" w:eastAsia="zh-CN" w:bidi="ar-SA"/>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2020年度收、支总计均为7183.5万元。与2019年相比，减少1312.56万元，减少15.45%，主要是因为专项下拨资金减少。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本年收入合计6145.75万元，其中：财政拨款收入5446.18万元，占88.62%；</w:t>
      </w:r>
      <w:r>
        <w:rPr>
          <w:rFonts w:hint="eastAsia" w:ascii="仿宋" w:hAnsi="仿宋" w:eastAsia="仿宋" w:cs="仿宋"/>
          <w:color w:val="auto"/>
          <w:sz w:val="32"/>
          <w:szCs w:val="32"/>
          <w:u w:val="none"/>
        </w:rPr>
        <w:t>上级补助收入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%；事业收入</w:t>
      </w:r>
      <w:r>
        <w:rPr>
          <w:rFonts w:hint="eastAsia" w:ascii="仿宋" w:hAnsi="仿宋" w:eastAsia="仿宋" w:cs="仿宋"/>
          <w:color w:val="auto"/>
          <w:sz w:val="32"/>
          <w:szCs w:val="32"/>
          <w:u w:val="none"/>
          <w:lang w:val="en-US" w:eastAsia="zh-CN"/>
        </w:rPr>
        <w:t>0万</w:t>
      </w:r>
      <w:r>
        <w:rPr>
          <w:rFonts w:hint="eastAsia" w:ascii="仿宋" w:hAnsi="仿宋" w:eastAsia="仿宋" w:cs="仿宋"/>
          <w:color w:val="auto"/>
          <w:sz w:val="32"/>
          <w:szCs w:val="32"/>
          <w:u w:val="none"/>
        </w:rPr>
        <w:t>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%；经营收入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%；附属单位上缴收入</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w:t>
      </w:r>
      <w:r>
        <w:rPr>
          <w:rFonts w:hint="eastAsia" w:ascii="仿宋" w:hAnsi="仿宋" w:eastAsia="仿宋" w:cs="仿宋"/>
          <w:color w:val="auto"/>
          <w:sz w:val="32"/>
          <w:szCs w:val="32"/>
        </w:rPr>
        <w:t>；</w:t>
      </w:r>
      <w:r>
        <w:rPr>
          <w:rFonts w:hint="default" w:ascii="仿宋" w:hAnsi="仿宋" w:eastAsia="仿宋" w:cs="仿宋"/>
          <w:b w:val="0"/>
          <w:bCs w:val="0"/>
          <w:color w:val="auto"/>
          <w:kern w:val="2"/>
          <w:sz w:val="32"/>
          <w:szCs w:val="32"/>
          <w:lang w:val="en-US" w:eastAsia="zh-CN" w:bidi="ar-SA"/>
        </w:rPr>
        <w:t>其他收入699.57万元，占11.38%。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三、支出决算情况说明</w:t>
      </w:r>
    </w:p>
    <w:p>
      <w:pPr>
        <w:pStyle w:val="7"/>
        <w:keepNext w:val="0"/>
        <w:keepLines w:val="0"/>
        <w:pageBreakBefore w:val="0"/>
        <w:kinsoku/>
        <w:wordWrap/>
        <w:overflowPunct/>
        <w:topLinePunct w:val="0"/>
        <w:bidi w:val="0"/>
        <w:snapToGrid/>
        <w:spacing w:line="600" w:lineRule="exact"/>
        <w:ind w:left="0" w:leftChars="0" w:firstLine="640" w:firstLineChars="200"/>
        <w:textAlignment w:val="auto"/>
        <w:rPr>
          <w:rFonts w:hint="eastAsia" w:ascii="仿宋" w:hAnsi="仿宋" w:eastAsia="仿宋" w:cs="仿宋"/>
          <w:b w:val="0"/>
          <w:bCs w:val="0"/>
          <w:color w:val="auto"/>
          <w:kern w:val="2"/>
          <w:sz w:val="32"/>
          <w:szCs w:val="32"/>
          <w:u w:val="none"/>
          <w:lang w:val="en-US" w:eastAsia="zh-CN" w:bidi="ar-SA"/>
        </w:rPr>
      </w:pPr>
      <w:r>
        <w:rPr>
          <w:rFonts w:hint="default" w:ascii="仿宋" w:hAnsi="仿宋" w:eastAsia="仿宋" w:cs="仿宋"/>
          <w:b w:val="0"/>
          <w:bCs w:val="0"/>
          <w:color w:val="auto"/>
          <w:kern w:val="2"/>
          <w:sz w:val="32"/>
          <w:szCs w:val="32"/>
          <w:lang w:val="en-US" w:eastAsia="zh-CN" w:bidi="ar-SA"/>
        </w:rPr>
        <w:t>本年支出合计5931.9万元，其中：基本支出2278.77万元，占38.42%；项目支出3653.12万元，占61.58%</w:t>
      </w:r>
      <w:r>
        <w:rPr>
          <w:rFonts w:hint="eastAsia" w:ascii="仿宋" w:hAnsi="仿宋" w:eastAsia="仿宋" w:cs="仿宋"/>
          <w:color w:val="auto"/>
          <w:sz w:val="32"/>
          <w:szCs w:val="32"/>
        </w:rPr>
        <w:t>；上缴上级</w:t>
      </w:r>
      <w:r>
        <w:rPr>
          <w:rFonts w:hint="eastAsia" w:ascii="仿宋" w:hAnsi="仿宋" w:eastAsia="仿宋" w:cs="仿宋"/>
          <w:color w:val="auto"/>
          <w:sz w:val="32"/>
          <w:szCs w:val="32"/>
          <w:u w:val="none"/>
        </w:rPr>
        <w:t>支出</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%；经营支出</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%；对附属单位补助支出</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万元</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占</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2020年度财政拨款收入总计</w:t>
      </w:r>
      <w:r>
        <w:rPr>
          <w:rFonts w:hint="eastAsia" w:ascii="仿宋" w:hAnsi="仿宋" w:eastAsia="仿宋" w:cs="仿宋"/>
          <w:b w:val="0"/>
          <w:bCs w:val="0"/>
          <w:color w:val="auto"/>
          <w:kern w:val="2"/>
          <w:sz w:val="32"/>
          <w:szCs w:val="32"/>
          <w:lang w:val="en-US" w:eastAsia="zh-CN" w:bidi="ar-SA"/>
        </w:rPr>
        <w:t>6483.93</w:t>
      </w:r>
      <w:r>
        <w:rPr>
          <w:rFonts w:hint="default" w:ascii="仿宋" w:hAnsi="仿宋" w:eastAsia="仿宋" w:cs="仿宋"/>
          <w:b w:val="0"/>
          <w:bCs w:val="0"/>
          <w:color w:val="auto"/>
          <w:kern w:val="2"/>
          <w:sz w:val="32"/>
          <w:szCs w:val="32"/>
          <w:lang w:val="en-US" w:eastAsia="zh-CN" w:bidi="ar-SA"/>
        </w:rPr>
        <w:t>万元，与2019年相比，减少收入14</w:t>
      </w:r>
      <w:r>
        <w:rPr>
          <w:rFonts w:hint="eastAsia" w:ascii="仿宋" w:hAnsi="仿宋" w:eastAsia="仿宋" w:cs="仿宋"/>
          <w:b w:val="0"/>
          <w:bCs w:val="0"/>
          <w:color w:val="auto"/>
          <w:kern w:val="2"/>
          <w:sz w:val="32"/>
          <w:szCs w:val="32"/>
          <w:lang w:val="en-US" w:eastAsia="zh-CN" w:bidi="ar-SA"/>
        </w:rPr>
        <w:t>04.17</w:t>
      </w:r>
      <w:r>
        <w:rPr>
          <w:rFonts w:hint="default" w:ascii="仿宋" w:hAnsi="仿宋" w:eastAsia="仿宋" w:cs="仿宋"/>
          <w:b w:val="0"/>
          <w:bCs w:val="0"/>
          <w:color w:val="auto"/>
          <w:kern w:val="2"/>
          <w:sz w:val="32"/>
          <w:szCs w:val="32"/>
          <w:lang w:val="en-US" w:eastAsia="zh-CN" w:bidi="ar-SA"/>
        </w:rPr>
        <w:t>万元,减少</w:t>
      </w:r>
      <w:r>
        <w:rPr>
          <w:rFonts w:hint="eastAsia" w:ascii="仿宋" w:hAnsi="仿宋" w:eastAsia="仿宋" w:cs="仿宋"/>
          <w:b w:val="0"/>
          <w:bCs w:val="0"/>
          <w:color w:val="auto"/>
          <w:kern w:val="2"/>
          <w:sz w:val="32"/>
          <w:szCs w:val="32"/>
          <w:lang w:val="en-US" w:eastAsia="zh-CN" w:bidi="ar-SA"/>
        </w:rPr>
        <w:t>17.8</w:t>
      </w:r>
      <w:r>
        <w:rPr>
          <w:rFonts w:hint="default" w:ascii="仿宋" w:hAnsi="仿宋" w:eastAsia="仿宋" w:cs="仿宋"/>
          <w:b w:val="0"/>
          <w:bCs w:val="0"/>
          <w:color w:val="auto"/>
          <w:kern w:val="2"/>
          <w:sz w:val="32"/>
          <w:szCs w:val="32"/>
          <w:lang w:val="en-US" w:eastAsia="zh-CN" w:bidi="ar-SA"/>
        </w:rPr>
        <w:t>%，主要是因为专项下拨资金减少</w:t>
      </w:r>
      <w:r>
        <w:rPr>
          <w:rFonts w:hint="eastAsia" w:ascii="仿宋" w:hAnsi="仿宋" w:eastAsia="仿宋" w:cs="仿宋"/>
          <w:b w:val="0"/>
          <w:bCs w:val="0"/>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w:t>
      </w:r>
      <w:r>
        <w:rPr>
          <w:rFonts w:hint="eastAsia" w:ascii="仿宋" w:hAnsi="仿宋" w:eastAsia="仿宋" w:cs="仿宋"/>
          <w:b w:val="0"/>
          <w:bCs w:val="0"/>
          <w:color w:val="auto"/>
          <w:kern w:val="2"/>
          <w:sz w:val="32"/>
          <w:szCs w:val="32"/>
          <w:lang w:val="en-US" w:eastAsia="zh-CN" w:bidi="ar-SA"/>
        </w:rPr>
        <w:t>支出</w:t>
      </w:r>
      <w:r>
        <w:rPr>
          <w:rFonts w:hint="default" w:ascii="仿宋" w:hAnsi="仿宋" w:eastAsia="仿宋" w:cs="仿宋"/>
          <w:b w:val="0"/>
          <w:bCs w:val="0"/>
          <w:color w:val="auto"/>
          <w:kern w:val="2"/>
          <w:sz w:val="32"/>
          <w:szCs w:val="32"/>
          <w:lang w:val="en-US" w:eastAsia="zh-CN" w:bidi="ar-SA"/>
        </w:rPr>
        <w:t>总计</w:t>
      </w:r>
      <w:r>
        <w:rPr>
          <w:rFonts w:hint="eastAsia" w:ascii="仿宋" w:hAnsi="仿宋" w:eastAsia="仿宋" w:cs="仿宋"/>
          <w:b w:val="0"/>
          <w:bCs w:val="0"/>
          <w:color w:val="auto"/>
          <w:kern w:val="2"/>
          <w:sz w:val="32"/>
          <w:szCs w:val="32"/>
          <w:lang w:val="en-US" w:eastAsia="zh-CN" w:bidi="ar-SA"/>
        </w:rPr>
        <w:t>6483.93</w:t>
      </w:r>
      <w:r>
        <w:rPr>
          <w:rFonts w:hint="default" w:ascii="仿宋" w:hAnsi="仿宋" w:eastAsia="仿宋" w:cs="仿宋"/>
          <w:b w:val="0"/>
          <w:bCs w:val="0"/>
          <w:color w:val="auto"/>
          <w:kern w:val="2"/>
          <w:sz w:val="32"/>
          <w:szCs w:val="32"/>
          <w:lang w:val="en-US" w:eastAsia="zh-CN" w:bidi="ar-SA"/>
        </w:rPr>
        <w:t>万元，与2019年相比，减少收入14</w:t>
      </w:r>
      <w:r>
        <w:rPr>
          <w:rFonts w:hint="eastAsia" w:ascii="仿宋" w:hAnsi="仿宋" w:eastAsia="仿宋" w:cs="仿宋"/>
          <w:b w:val="0"/>
          <w:bCs w:val="0"/>
          <w:color w:val="auto"/>
          <w:kern w:val="2"/>
          <w:sz w:val="32"/>
          <w:szCs w:val="32"/>
          <w:lang w:val="en-US" w:eastAsia="zh-CN" w:bidi="ar-SA"/>
        </w:rPr>
        <w:t>04.17</w:t>
      </w:r>
      <w:r>
        <w:rPr>
          <w:rFonts w:hint="default" w:ascii="仿宋" w:hAnsi="仿宋" w:eastAsia="仿宋" w:cs="仿宋"/>
          <w:b w:val="0"/>
          <w:bCs w:val="0"/>
          <w:color w:val="auto"/>
          <w:kern w:val="2"/>
          <w:sz w:val="32"/>
          <w:szCs w:val="32"/>
          <w:lang w:val="en-US" w:eastAsia="zh-CN" w:bidi="ar-SA"/>
        </w:rPr>
        <w:t>万元,减少</w:t>
      </w:r>
      <w:r>
        <w:rPr>
          <w:rFonts w:hint="eastAsia" w:ascii="仿宋" w:hAnsi="仿宋" w:eastAsia="仿宋" w:cs="仿宋"/>
          <w:b w:val="0"/>
          <w:bCs w:val="0"/>
          <w:color w:val="auto"/>
          <w:kern w:val="2"/>
          <w:sz w:val="32"/>
          <w:szCs w:val="32"/>
          <w:lang w:val="en-US" w:eastAsia="zh-CN" w:bidi="ar-SA"/>
        </w:rPr>
        <w:t>17.8</w:t>
      </w:r>
      <w:r>
        <w:rPr>
          <w:rFonts w:hint="default" w:ascii="仿宋" w:hAnsi="仿宋" w:eastAsia="仿宋" w:cs="仿宋"/>
          <w:b w:val="0"/>
          <w:bCs w:val="0"/>
          <w:color w:val="auto"/>
          <w:kern w:val="2"/>
          <w:sz w:val="32"/>
          <w:szCs w:val="32"/>
          <w:lang w:val="en-US" w:eastAsia="zh-CN" w:bidi="ar-SA"/>
        </w:rPr>
        <w:t>%，主要是因为专项下拨资金减少</w:t>
      </w:r>
      <w:r>
        <w:rPr>
          <w:rFonts w:hint="eastAsia" w:ascii="仿宋" w:hAnsi="仿宋" w:eastAsia="仿宋" w:cs="仿宋"/>
          <w:b w:val="0"/>
          <w:bCs w:val="0"/>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2020年度财政拨款支出5232.33万元，占本年支出合计的88.21%，与2019年相比，财政拨款支出减少1549.31万元，减少22.85%，主要是因为专项下拨资金减少。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2020年度财政拨款支出5232.33万元，主要用于以下方面：一般公共服务（类）支出2654.71万元，占50.74%；文化旅游体育与传媒</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支出28万元，占0.54%;社会保障和就业</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支出1757.21万元，占33.58%；卫生健康</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支出46.42万元，占0.89%；节能环保</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支出103.6万元，占1.98%；城乡社区</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支出498.84万元，占9.53%；资源勘探工业信息等</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支出10万元，占0.19%；住房保障</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支出103.44万元，占1.98%；灾害防治及应急管理</w:t>
      </w:r>
      <w:r>
        <w:rPr>
          <w:rFonts w:hint="eastAsia" w:ascii="仿宋" w:hAnsi="仿宋" w:eastAsia="仿宋" w:cs="仿宋"/>
          <w:b w:val="0"/>
          <w:bCs w:val="0"/>
          <w:color w:val="auto"/>
          <w:kern w:val="2"/>
          <w:sz w:val="32"/>
          <w:szCs w:val="32"/>
          <w:lang w:val="en-US" w:eastAsia="zh-CN" w:bidi="ar-SA"/>
        </w:rPr>
        <w:t>（类）</w:t>
      </w:r>
      <w:r>
        <w:rPr>
          <w:rFonts w:hint="default" w:ascii="仿宋" w:hAnsi="仿宋" w:eastAsia="仿宋" w:cs="仿宋"/>
          <w:b w:val="0"/>
          <w:bCs w:val="0"/>
          <w:color w:val="auto"/>
          <w:kern w:val="2"/>
          <w:sz w:val="32"/>
          <w:szCs w:val="32"/>
          <w:lang w:val="en-US" w:eastAsia="zh-CN" w:bidi="ar-SA"/>
        </w:rPr>
        <w:t>支出30.11万元，占0.57%</w:t>
      </w:r>
      <w:r>
        <w:rPr>
          <w:rFonts w:hint="eastAsia" w:ascii="仿宋" w:hAnsi="仿宋" w:eastAsia="仿宋" w:cs="仿宋"/>
          <w:b w:val="0"/>
          <w:bCs w:val="0"/>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2020年度财政拨款支出年初预算数为5190.1万元，支出决算数为5232.33万元，完成年初预算的100.81%，决算数大于预算数的差额主要是上年结余结转和年中追加预算安排的支出，其中：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1、一般公共服务（类）政府办公厅（室）及相关机构事务（款）行政运行（项）。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年初预算为1823.52万元，支出决算为1873.29万元，完成年初预算的102.73%，决算数大于年初预算数的主要原因是：人员、工资和奖金数量有增长。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2、一般公共服务（类）政府办公厅（室）及相关机构事务（款）一般行政管理事务（项）。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年初预算为3366.58万元，支出决算为718.89万元，完成年初预算的21.35%，决算数小于年初预算数的主要原因是：预算时将专项资金也计算在该项。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3、一般公共服务（类）政府办公厅（室）及相关机构事务（款）信访事务（项）</w:t>
      </w:r>
      <w:r>
        <w:rPr>
          <w:rFonts w:hint="eastAsia" w:ascii="仿宋" w:hAnsi="仿宋" w:eastAsia="仿宋" w:cs="仿宋"/>
          <w:b w:val="0"/>
          <w:bCs w:val="0"/>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年初预算为0万元，支出决算为39.12万元，决算数大于年初预算数的主要原因是：为上级专项拨款。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4、一般公共服务（类）统计信息事务（款）一般行政管理事务（项）。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5、一般公共服务（类）统计信息事务（款）专项普查活动（项）。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年初预算为0万元，支出决算为8.91万元，决算数大于年初预算数的主要原因是：为上级专项拨款。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6、一般公共服务（类）财政事务（款）一般行政管理事务（项）。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年初预算为0万元，支出决算为6万元，决算数大于年初预算数的主要原因是：为上级专项拨款。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7、一般公共服务（类）纪检监察事务（款）一般行政管理事务（项）。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8、一般公共服务（类）宣传事务（款）一般行政管理事务（项）。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9、一般公共服务（类）市场监督管理事务（款）一般行政管理事务（项）。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年初预算为0万元，支出决算为0.5万元，决算数大于年初预算数的主要原因是：为上级专项拨款。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10、文化旅游体育与传媒支出（类）文化和旅游（款） 其他文化和旅游支出（项）。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年初预算为0万元，支出决算为23万元，决算数大于年初预算数的主要原因是：为上级专项拨款。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11、文化旅游体育与传媒支出（类）新闻出版电影（款） 其他新闻出版电影支出（项）。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12、社会保障和就业支出（类）人力资源和社会保障管理事务（款） 其他人力资源和社会保障管理事务支出（项）。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年初预算为0万元，支出决算为186.63万元，决算数大于年初预算数的主要原因是：为上级专项拨款。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13、社会保障和就业支出（类）民政管理事务（款）一般行政管理事务（项）。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年初预算为0万元，支出决算为24.4万元，决算数大于年初预算数的主要原因是：为上级专项拨款。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14、社会保障和就业支出（类）民政管理事务（款）基层政权和社区建设（项）。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年初预算为0万元，支出决算为783.48万元，决算数大于年初预算数的主要原因是：为上级专项拨款。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15、社会保障和就业支出（类）民政管理事务（款）其他民政管理事务支出（项）。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年初预算为0万元，支出决算为1.8万元，决算数大于年初预算数的主要原因是：为上级专项拨款。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16、社会保障和就业支出（类）行政事业单位养老支出（款）行政单位离退休（项）。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年初预算为0万元，支出决算为251.01万元，决算数大于年初预算数的主要原因是：预算时的251.64万元全部放入人员经费，未单列在此项。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17、社会保障和就业支出（类）就业补助（款）其他就业补助支出（项）。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年初预算为0万元，支出决算为10.97万元，决算数大于年初预算数的主要原因是：为上级专项拨款。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18、社会保障和就业支出（类）抚恤（款）其他优抚支出（项）。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年初预算为0万元，支出决算为31.42万元，决算数大于年初预算数的主要原因是：为上级专项拨款。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19、社会保障和就业支出（类）退役安置（款） 其他退役安置支出（项）。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年初预算为0万元，支出决算为160.5万元，决算数大于年初预算数的主要原因是：为上级专项拨款。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20、社会保障和就业支出（类）社会福利（款）老年福利（项）。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年初预算为0万元，支出决算为243.68万元，决算数大于年初预算数的主要原因是：为上级专项拨款。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21、社会保障和就业支出（类）残疾人事业（款）一般行政管理事务（项）。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年初预算为0万元，支出决算为2.95万元，决算数大于年初预算数的主要原因是：为上级专项拨款。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22、社会保障和就业支出（类）残疾人事业（款）残疾人就业和扶贫（项）。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年初预算为0万元，支出决算为3.3万元，完成年初预算的%，决算数大于年初预算数的主要原因是：为上级专项拨款。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23、社会保障和就业支出（类）临时救助（款）临时救助支出（项）。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年初预算为0万元，支出决算为24.21万元，决算数大于年初预算数的主要原因是：为上级专项拨款。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24、社会保障和就业支出（类）退役军人管理事务（款）  拥军优属（项）。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年初预算为0万元，支出决算为9.6万元，决算数大于年初预算数的主要原因是：为上级专项拨款。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25、社会保障和就业支出（类）退役军人管理事务（款）其他退役军人事务管理支出（项）。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年初预算为0万元，支出决算为23.26万元，决算数大于年初预算数的主要原因是：为上级专项拨款。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26、卫生健康支出（类）卫生健康管理事务（款）一般行政管理事务（项）。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年初预算为0万元，支出决算为3.78万元，决算数大于年初预算数的主要原因是：为上级专项拨款。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27、卫生健康支出（类）公共卫生（款）疾病预防控制机构（项）。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年初预算为0万元，支出决算为27万元，决算数大于年初预算数的主要原因是：为上级专项拨款。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28、卫生健康支出（类）公共卫生（款）采供血机构（项）。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年初预算为0万元，支出决算为2.02万元，决算数大于年初预算数的主要原因是：为上级专项拨款。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29、卫生健康支出（类）公共卫生（款）重大公共卫生服务（项）。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30、卫生健康支出（类）计划生育事务（款）计划生育服务（项）。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年初预算为0万元，支出决算为1.19万元，决算数大于年初预算数的主要原因是：为上级专项拨款。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31、卫生健康支出（类）计划生育事务（款）其他计划生育事务支出（项）。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年初预算为0万元，支出决算为2.43万元，决算数大于年初预算数的主要原因是：为上级专项拨款。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32、节能环保支出（类）污染防治（款）大气（项）。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年初预算为0万元，支出决算为103.6万元，决算数大于年初预算数的主要原因是：为上级专项拨款。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33、城乡社区支出（类）城乡社区管理事务（款）行政运行（项）。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年初预算为0万元，支出决算为51.04万元，决算数大于年初预算数的主要原因是：为上级专项拨款。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34、城乡社区支出（类）城乡社区管理事务（款）一般行政管理事务（项）。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年初预算为0万元，支出决算为409.37万元，决算数大于年初预算数的主要原因是：为上级专项拨款。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35、城乡社区支出（类）城乡社区管理事务（款）其他城乡社区管理事务支出（项）。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36、城乡社区支出（类）城乡社区公共设施（款）其他城乡社区公共设施支出（项）。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年初预算为0万元，支出决算为8.17万元，决算数大于年初预算数的主要原因是：为上级专项拨款。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37、城乡社区支出（类）城乡社区环境卫生（款）城乡社区环境卫生（项）。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年初预算为0万元，支出决算为0.77万元，决算数大于年初预算数的主要原因是：为上级专项拨款。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38、城乡社区支出（类）建设市场管理与监督（款）建设市场管理与监督（项）。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年初预算为0万元，支出决算为16.5万元，决算数大于年初预算数的主要原因是：为上级专项拨款。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39、城乡社区支出（类）其他城乡社区支出（款）其他城乡社区支出（项）。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40、资源勘探</w:t>
      </w:r>
      <w:r>
        <w:rPr>
          <w:rFonts w:hint="eastAsia" w:ascii="仿宋" w:hAnsi="仿宋" w:eastAsia="仿宋" w:cs="仿宋"/>
          <w:b w:val="0"/>
          <w:bCs w:val="0"/>
          <w:color w:val="auto"/>
          <w:kern w:val="2"/>
          <w:sz w:val="32"/>
          <w:szCs w:val="32"/>
          <w:lang w:val="en-US" w:eastAsia="zh-CN" w:bidi="ar-SA"/>
        </w:rPr>
        <w:t>工业</w:t>
      </w:r>
      <w:r>
        <w:rPr>
          <w:rFonts w:hint="default" w:ascii="仿宋" w:hAnsi="仿宋" w:eastAsia="仿宋" w:cs="仿宋"/>
          <w:b w:val="0"/>
          <w:bCs w:val="0"/>
          <w:color w:val="auto"/>
          <w:kern w:val="2"/>
          <w:sz w:val="32"/>
          <w:szCs w:val="32"/>
          <w:lang w:val="en-US" w:eastAsia="zh-CN" w:bidi="ar-SA"/>
        </w:rPr>
        <w:t>信息等支出（类）国有资产监管（款）其他国有资产监管支出（项）。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年初预算为0万元，支出决算为10万元，决算数大于年初预算数的主要原因是：为上级专项拨款。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41、住房保障支出（类）住房改革支出（款）住房公积金（项）。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年初预算为0万元，支出决算为103.44万元，决算数大于年初预算数的主要原因是：住房公积金预算104.84万元时未单列在该项。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42、灾害防治及应急管理支出（类）消防事务（款）消防应急救援（项）。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年初预算为0万元，支出决算为30.11万元，完决算数大于年初预算数的主要原因是：为上级专项拨款。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财政拨款基本支出2278.77万元，其中：人员经费2136.89万元，占基本支出的93.77%,主要包括基本工资、津贴补贴、奖金、伙食补助费、临聘的工资福利、物业补贴、工资调增部分、退休人员部分福利、体制外参照退休人员工资及福利；公用经费141.88万元，占基本支出的6.23%，主要包括办公费、印刷费、水电费、邮电费、维护（修）费、工会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“三公”经费财政拨款支出预算为0万元，支出决算为0万元，完成预算的100%，其中：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公务接待费支出预算0万元，支出决算为0万元，完成预算的100%，决算数与年初预算数持平，主要原因是按预算执行，与上年数持平，主要原因是厉行节约，减少开支。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2020年度“三公”经费财政拨款支出决算中，公务接待费支出决算0万元，占0 %,因公出国（境）费支出决算0万元，占0%,公务用车购置费及运行维护费支出决算0万元，占0 %。其中：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2、公务接待费支出决算为0万元，全年共接待来访团组0个、来宾0人次。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3、公务用车购置费及运行维护费支出决算为0万元，其中：公务用车购置费0万元。公务用车运行维护费0万元，截至2020年12月31日，我单位开支财政拨款的公务用车保有量为0辆。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2020年度本单位无政府性基金收支</w:t>
      </w:r>
      <w:r>
        <w:rPr>
          <w:rFonts w:hint="eastAsia" w:ascii="仿宋" w:hAnsi="仿宋" w:eastAsia="仿宋" w:cs="仿宋"/>
          <w:b w:val="0"/>
          <w:bCs w:val="0"/>
          <w:color w:val="auto"/>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根据财政预算管理和省级财政资金预算绩效评价工作要求，2020年度本部门进一步完善了资金管理制度，规范了资金分配、使用程序，实时跟进了财政资金的支出进度，较好地完成了年度工作目标，重点加强了绩效目标的管理，推进了本部门财政支出绩效评价工作的有序开展。（详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本部门202</w:t>
      </w:r>
      <w:bookmarkStart w:id="0" w:name="_GoBack"/>
      <w:r>
        <w:rPr>
          <w:rFonts w:hint="default" w:ascii="仿宋" w:hAnsi="仿宋" w:eastAsia="仿宋" w:cs="仿宋"/>
          <w:b w:val="0"/>
          <w:bCs w:val="0"/>
          <w:color w:val="auto"/>
          <w:kern w:val="2"/>
          <w:sz w:val="32"/>
          <w:szCs w:val="32"/>
          <w:lang w:val="en-US" w:eastAsia="zh-CN" w:bidi="ar-SA"/>
        </w:rPr>
        <w:t>0年度机关运行经费支出141.88万元，比年初预算数减少</w:t>
      </w:r>
      <w:r>
        <w:rPr>
          <w:rFonts w:hint="eastAsia" w:ascii="仿宋" w:hAnsi="仿宋" w:eastAsia="仿宋" w:cs="仿宋"/>
          <w:b w:val="0"/>
          <w:bCs w:val="0"/>
          <w:color w:val="auto"/>
          <w:kern w:val="2"/>
          <w:sz w:val="32"/>
          <w:szCs w:val="32"/>
          <w:lang w:val="en-US" w:eastAsia="zh-CN" w:bidi="ar-SA"/>
        </w:rPr>
        <w:t>67.33</w:t>
      </w:r>
      <w:r>
        <w:rPr>
          <w:rFonts w:hint="default" w:ascii="仿宋" w:hAnsi="仿宋" w:eastAsia="仿宋" w:cs="仿宋"/>
          <w:b w:val="0"/>
          <w:bCs w:val="0"/>
          <w:color w:val="auto"/>
          <w:kern w:val="2"/>
          <w:sz w:val="32"/>
          <w:szCs w:val="32"/>
          <w:lang w:val="en-US" w:eastAsia="zh-CN" w:bidi="ar-SA"/>
        </w:rPr>
        <w:t>万元，降低</w:t>
      </w:r>
      <w:r>
        <w:rPr>
          <w:rFonts w:hint="eastAsia" w:ascii="仿宋" w:hAnsi="仿宋" w:eastAsia="仿宋" w:cs="仿宋"/>
          <w:b w:val="0"/>
          <w:bCs w:val="0"/>
          <w:color w:val="auto"/>
          <w:kern w:val="2"/>
          <w:sz w:val="32"/>
          <w:szCs w:val="32"/>
          <w:lang w:val="en-US" w:eastAsia="zh-CN" w:bidi="ar-SA"/>
        </w:rPr>
        <w:t>32.18</w:t>
      </w:r>
      <w:r>
        <w:rPr>
          <w:rFonts w:hint="default" w:ascii="仿宋" w:hAnsi="仿宋" w:eastAsia="仿宋" w:cs="仿宋"/>
          <w:b w:val="0"/>
          <w:bCs w:val="0"/>
          <w:color w:val="auto"/>
          <w:kern w:val="2"/>
          <w:sz w:val="32"/>
          <w:szCs w:val="32"/>
          <w:lang w:val="en-US" w:eastAsia="zh-CN" w:bidi="ar-SA"/>
        </w:rPr>
        <w:t>%</w:t>
      </w:r>
      <w:bookmarkEnd w:id="0"/>
      <w:r>
        <w:rPr>
          <w:rFonts w:hint="default" w:ascii="仿宋" w:hAnsi="仿宋" w:eastAsia="仿宋" w:cs="仿宋"/>
          <w:b w:val="0"/>
          <w:bCs w:val="0"/>
          <w:color w:val="auto"/>
          <w:kern w:val="2"/>
          <w:sz w:val="32"/>
          <w:szCs w:val="32"/>
          <w:lang w:val="en-US" w:eastAsia="zh-CN" w:bidi="ar-SA"/>
        </w:rPr>
        <w:t>。主要原因是：严格控制经费的支出，节约日常开支，本年无三公经费的支出。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2020年本部门开支会议费1.45万元，用于召开机关支部7月主题党日会议活动，人数108人，内容为“寻初心、守初心、践初心”，活动计划：游览刘少奇故居，瞻仰主席铜像与铜像合影，向主席铜像敬献花篮，会议室观看学习教育视频，重温入党誓词，会议经费具体明细为：租车0.3万元，租借会议室0.32万元，花篮0.1万元，合影打印照片0.1万元，打印学习资源0.23万元，中餐0.4万元；开支培训费0.5万元，其中基本支出培训费</w:t>
      </w:r>
      <w:r>
        <w:rPr>
          <w:rFonts w:hint="eastAsia" w:ascii="仿宋" w:hAnsi="仿宋" w:eastAsia="仿宋" w:cs="仿宋"/>
          <w:b w:val="0"/>
          <w:bCs w:val="0"/>
          <w:color w:val="auto"/>
          <w:kern w:val="2"/>
          <w:sz w:val="32"/>
          <w:szCs w:val="32"/>
          <w:lang w:val="en-US" w:eastAsia="zh-CN" w:bidi="ar-SA"/>
        </w:rPr>
        <w:t>0.14万</w:t>
      </w:r>
      <w:r>
        <w:rPr>
          <w:rFonts w:hint="default" w:ascii="仿宋" w:hAnsi="仿宋" w:eastAsia="仿宋" w:cs="仿宋"/>
          <w:b w:val="0"/>
          <w:bCs w:val="0"/>
          <w:color w:val="auto"/>
          <w:kern w:val="2"/>
          <w:sz w:val="32"/>
          <w:szCs w:val="32"/>
          <w:lang w:val="en-US" w:eastAsia="zh-CN" w:bidi="ar-SA"/>
        </w:rPr>
        <w:t>元，用于2020年度内部审计人员后续教育培训，人数2人，内容为财政所2名同志的审计人员后续教育培训；项目支出培训费</w:t>
      </w:r>
      <w:r>
        <w:rPr>
          <w:rFonts w:hint="eastAsia" w:ascii="仿宋" w:hAnsi="仿宋" w:eastAsia="仿宋" w:cs="仿宋"/>
          <w:b w:val="0"/>
          <w:bCs w:val="0"/>
          <w:color w:val="auto"/>
          <w:kern w:val="2"/>
          <w:sz w:val="32"/>
          <w:szCs w:val="32"/>
          <w:lang w:val="en-US" w:eastAsia="zh-CN" w:bidi="ar-SA"/>
        </w:rPr>
        <w:t>0.36万</w:t>
      </w:r>
      <w:r>
        <w:rPr>
          <w:rFonts w:hint="default" w:ascii="仿宋" w:hAnsi="仿宋" w:eastAsia="仿宋" w:cs="仿宋"/>
          <w:b w:val="0"/>
          <w:bCs w:val="0"/>
          <w:color w:val="auto"/>
          <w:kern w:val="2"/>
          <w:sz w:val="32"/>
          <w:szCs w:val="32"/>
          <w:lang w:val="en-US" w:eastAsia="zh-CN" w:bidi="ar-SA"/>
        </w:rPr>
        <w:t>元，用于开展禁毒业务培训，人数9人，内容为街道综治办人员及社区专干共9名同志的禁毒知识培训；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本部门2020年度政府采购支出总额203.52万元，其中：政府采购货物支出2万元、政府采购工程支出0万元、政府采购服务支出201.52万元。授予中小企业合同金额0元，占政府采购支出总额的0 %。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bCs/>
          <w:color w:val="auto"/>
          <w:kern w:val="2"/>
          <w:sz w:val="32"/>
          <w:szCs w:val="32"/>
          <w:lang w:val="en-US" w:eastAsia="zh-CN" w:bidi="ar-SA"/>
        </w:rPr>
      </w:pPr>
      <w:r>
        <w:rPr>
          <w:rFonts w:hint="default" w:ascii="仿宋" w:hAnsi="仿宋" w:eastAsia="仿宋" w:cs="仿宋"/>
          <w:b/>
          <w:bCs/>
          <w:color w:val="auto"/>
          <w:kern w:val="2"/>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default"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截至2020年12月31日，本单位共有车辆10辆，其中，领导干部用车0辆、机要通信用车0辆、应急保障用车0辆、执法执勤用车0辆、特种专业技术用车0辆、其他用车10辆，其他用车主要是城管执法电动巡逻车、电动巡逻车、清洗作业车；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p>
    <w:p>
      <w:pPr>
        <w:keepNext w:val="0"/>
        <w:keepLines w:val="0"/>
        <w:pageBreakBefore w:val="0"/>
        <w:widowControl/>
        <w:kinsoku/>
        <w:wordWrap/>
        <w:overflowPunct/>
        <w:topLinePunct w:val="0"/>
        <w:bidi w:val="0"/>
        <w:snapToGrid/>
        <w:spacing w:line="600" w:lineRule="exact"/>
        <w:ind w:left="0" w:leftChars="0" w:firstLine="880" w:firstLineChars="200"/>
        <w:jc w:val="center"/>
        <w:textAlignment w:val="auto"/>
        <w:rPr>
          <w:rFonts w:hint="default" w:ascii="黑体" w:hAnsi="黑体" w:eastAsia="黑体" w:cs="黑体"/>
          <w:bCs/>
          <w:kern w:val="0"/>
          <w:sz w:val="44"/>
          <w:szCs w:val="44"/>
          <w:lang w:val="en-US" w:eastAsia="zh-CN"/>
        </w:rPr>
      </w:pPr>
      <w:r>
        <w:rPr>
          <w:rFonts w:hint="default" w:ascii="黑体" w:hAnsi="黑体" w:eastAsia="黑体" w:cs="黑体"/>
          <w:bCs/>
          <w:kern w:val="0"/>
          <w:sz w:val="44"/>
          <w:szCs w:val="44"/>
          <w:lang w:val="en-US" w:eastAsia="zh-CN"/>
        </w:rPr>
        <w:t>第四部分 名词解释</w:t>
      </w:r>
    </w:p>
    <w:p>
      <w:pPr>
        <w:keepNext w:val="0"/>
        <w:keepLines w:val="0"/>
        <w:pageBreakBefore w:val="0"/>
        <w:widowControl/>
        <w:kinsoku/>
        <w:wordWrap/>
        <w:overflowPunct/>
        <w:topLinePunct w:val="0"/>
        <w:bidi w:val="0"/>
        <w:snapToGrid/>
        <w:spacing w:line="600" w:lineRule="exact"/>
        <w:ind w:left="0" w:leftChars="0" w:firstLine="880" w:firstLineChars="200"/>
        <w:jc w:val="center"/>
        <w:textAlignment w:val="auto"/>
        <w:rPr>
          <w:rFonts w:hint="eastAsia" w:ascii="黑体" w:hAnsi="黑体" w:eastAsia="黑体" w:cs="黑体"/>
          <w:bCs/>
          <w:kern w:val="0"/>
          <w:sz w:val="44"/>
          <w:szCs w:val="44"/>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一、一般公共预算拨款收入：指开福区财政当年拨付的资金。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二、基本支出：指为保障机构正常运转、完成日常工作任务而发生的人员支出和公用支出。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三、项目支出：指在基本支出之外为完成特定行政任务和事业发展目标所发生的支出。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四、“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五、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 w:hAnsi="仿宋" w:eastAsia="仿宋" w:cs="仿宋"/>
          <w:b w:val="0"/>
          <w:bCs w:val="0"/>
          <w:color w:val="auto"/>
          <w:kern w:val="2"/>
          <w:sz w:val="32"/>
          <w:szCs w:val="32"/>
          <w:lang w:val="en-US" w:eastAsia="zh-CN" w:bidi="ar-SA"/>
        </w:rPr>
      </w:pPr>
      <w:r>
        <w:rPr>
          <w:rFonts w:hint="default" w:ascii="仿宋" w:hAnsi="仿宋" w:eastAsia="仿宋" w:cs="仿宋"/>
          <w:b w:val="0"/>
          <w:bCs w:val="0"/>
          <w:color w:val="auto"/>
          <w:kern w:val="2"/>
          <w:sz w:val="32"/>
          <w:szCs w:val="32"/>
          <w:lang w:val="en-US" w:eastAsia="zh-CN" w:bidi="ar-SA"/>
        </w:rPr>
        <w:t>  </w:t>
      </w:r>
    </w:p>
    <w:p>
      <w:pPr>
        <w:keepNext w:val="0"/>
        <w:keepLines w:val="0"/>
        <w:pageBreakBefore w:val="0"/>
        <w:numPr>
          <w:ilvl w:val="0"/>
          <w:numId w:val="0"/>
        </w:numPr>
        <w:kinsoku/>
        <w:wordWrap/>
        <w:overflowPunct/>
        <w:topLinePunct w:val="0"/>
        <w:bidi w:val="0"/>
        <w:snapToGrid/>
        <w:spacing w:line="600" w:lineRule="exact"/>
        <w:ind w:leftChars="200" w:firstLine="2640" w:firstLineChars="600"/>
        <w:jc w:val="both"/>
        <w:textAlignment w:val="auto"/>
        <w:rPr>
          <w:rFonts w:hint="eastAsia" w:ascii="仿宋" w:hAnsi="仿宋" w:eastAsia="仿宋" w:cs="仿宋"/>
          <w:b w:val="0"/>
          <w:bCs w:val="0"/>
          <w:color w:val="auto"/>
          <w:kern w:val="2"/>
          <w:sz w:val="32"/>
          <w:szCs w:val="32"/>
          <w:lang w:val="en-US" w:eastAsia="zh-CN" w:bidi="ar-SA"/>
        </w:rPr>
      </w:pPr>
      <w:r>
        <w:rPr>
          <w:rFonts w:hint="eastAsia" w:ascii="黑体" w:hAnsi="黑体" w:eastAsia="黑体" w:cs="黑体"/>
          <w:bCs/>
          <w:kern w:val="0"/>
          <w:sz w:val="44"/>
          <w:szCs w:val="44"/>
          <w:lang w:val="en-US" w:eastAsia="zh-CN"/>
        </w:rPr>
        <w:t>第五部分</w:t>
      </w:r>
      <w:r>
        <w:rPr>
          <w:rFonts w:hint="default" w:ascii="黑体" w:hAnsi="黑体" w:eastAsia="黑体" w:cs="黑体"/>
          <w:bCs/>
          <w:kern w:val="0"/>
          <w:sz w:val="44"/>
          <w:szCs w:val="44"/>
          <w:lang w:val="en-US" w:eastAsia="zh-CN"/>
        </w:rPr>
        <w:t> 附件</w:t>
      </w:r>
    </w:p>
    <w:p>
      <w:pPr>
        <w:keepNext w:val="0"/>
        <w:keepLines w:val="0"/>
        <w:pageBreakBefore w:val="0"/>
        <w:widowControl/>
        <w:kinsoku/>
        <w:wordWrap/>
        <w:overflowPunct/>
        <w:topLinePunct w:val="0"/>
        <w:bidi w:val="0"/>
        <w:snapToGrid/>
        <w:spacing w:line="600" w:lineRule="exact"/>
        <w:ind w:left="0" w:leftChars="0" w:firstLine="640" w:firstLineChars="200"/>
        <w:jc w:val="center"/>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2020年度部门整体支出绩效评价报告</w:t>
      </w:r>
    </w:p>
    <w:p>
      <w:pPr>
        <w:keepNext w:val="0"/>
        <w:keepLines w:val="0"/>
        <w:pageBreakBefore w:val="0"/>
        <w:kinsoku/>
        <w:wordWrap/>
        <w:overflowPunct/>
        <w:topLinePunct w:val="0"/>
        <w:bidi w:val="0"/>
        <w:snapToGrid/>
        <w:spacing w:line="600" w:lineRule="exact"/>
        <w:ind w:left="0" w:leftChars="0"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E2116"/>
    <w:multiLevelType w:val="singleLevel"/>
    <w:tmpl w:val="A46E2116"/>
    <w:lvl w:ilvl="0" w:tentative="0">
      <w:start w:val="2"/>
      <w:numFmt w:val="chineseCounting"/>
      <w:suff w:val="space"/>
      <w:lvlText w:val="第%1部分"/>
      <w:lvlJc w:val="left"/>
      <w:rPr>
        <w:rFonts w:hint="eastAsia"/>
      </w:rPr>
    </w:lvl>
  </w:abstractNum>
  <w:abstractNum w:abstractNumId="1">
    <w:nsid w:val="0C3F8ECA"/>
    <w:multiLevelType w:val="singleLevel"/>
    <w:tmpl w:val="0C3F8EC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05982A21"/>
    <w:rsid w:val="063C13BC"/>
    <w:rsid w:val="07377E03"/>
    <w:rsid w:val="0F592105"/>
    <w:rsid w:val="13D2444E"/>
    <w:rsid w:val="15735DE5"/>
    <w:rsid w:val="1A076A41"/>
    <w:rsid w:val="1FB1562A"/>
    <w:rsid w:val="21AD6BE6"/>
    <w:rsid w:val="2281009A"/>
    <w:rsid w:val="26C87CF8"/>
    <w:rsid w:val="2E6C0C56"/>
    <w:rsid w:val="31BF0E55"/>
    <w:rsid w:val="3231600F"/>
    <w:rsid w:val="4E554E2F"/>
    <w:rsid w:val="560B5666"/>
    <w:rsid w:val="5EB75CCF"/>
    <w:rsid w:val="5FFF05CD"/>
    <w:rsid w:val="663D4E77"/>
    <w:rsid w:val="6B19760F"/>
    <w:rsid w:val="6C6C7EEF"/>
    <w:rsid w:val="7F90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8538</Words>
  <Characters>9157</Characters>
  <Lines>0</Lines>
  <Paragraphs>0</Paragraphs>
  <TotalTime>98</TotalTime>
  <ScaleCrop>false</ScaleCrop>
  <LinksUpToDate>false</LinksUpToDate>
  <CharactersWithSpaces>9172</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隽</cp:lastModifiedBy>
  <dcterms:modified xsi:type="dcterms:W3CDTF">2022-08-19T01:44:50Z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782BC0498B39471493E431FCEF4CA0E6</vt:lpwstr>
  </property>
</Properties>
</file>