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长沙市开福区伍家岭街道办事处</w:t>
      </w:r>
    </w:p>
    <w:p>
      <w:pPr>
        <w:jc w:val="center"/>
        <w:rPr>
          <w:rFonts w:hint="eastAsia" w:ascii="方正小标宋简体" w:eastAsia="方正小标宋简体"/>
          <w:sz w:val="44"/>
          <w:szCs w:val="44"/>
        </w:rPr>
      </w:pPr>
      <w:r>
        <w:rPr>
          <w:rFonts w:hint="eastAsia" w:ascii="方正小标宋简体" w:eastAsia="方正小标宋简体"/>
          <w:sz w:val="44"/>
          <w:szCs w:val="44"/>
        </w:rPr>
        <w:t>部门整体支出绩效自评报告</w:t>
      </w:r>
    </w:p>
    <w:p>
      <w:pPr>
        <w:pStyle w:val="2"/>
        <w:rPr>
          <w:rFonts w:hint="eastAsia"/>
        </w:rPr>
      </w:pPr>
      <w:bookmarkStart w:id="0" w:name="_GoBack"/>
      <w:bookmarkEnd w:id="0"/>
    </w:p>
    <w:p>
      <w:pPr>
        <w:pStyle w:val="9"/>
        <w:widowControl/>
        <w:numPr>
          <w:ilvl w:val="0"/>
          <w:numId w:val="1"/>
        </w:numPr>
        <w:spacing w:line="600" w:lineRule="exact"/>
        <w:ind w:firstLineChars="0"/>
        <w:rPr>
          <w:rFonts w:ascii="Times New Roman" w:hAnsi="Times New Roman" w:eastAsia="黑体" w:cs="Times New Roman"/>
          <w:sz w:val="32"/>
          <w:szCs w:val="32"/>
        </w:rPr>
      </w:pPr>
      <w:r>
        <w:rPr>
          <w:rFonts w:ascii="Times New Roman" w:hAnsi="Times New Roman" w:eastAsia="黑体" w:cs="Times New Roman"/>
          <w:sz w:val="32"/>
          <w:szCs w:val="32"/>
        </w:rPr>
        <w:t>单位基本情况</w:t>
      </w:r>
    </w:p>
    <w:p>
      <w:pPr>
        <w:numPr>
          <w:ilvl w:val="0"/>
          <w:numId w:val="0"/>
        </w:numPr>
        <w:snapToGrid w:val="0"/>
        <w:spacing w:line="520" w:lineRule="exact"/>
        <w:ind w:leftChars="200"/>
        <w:rPr>
          <w:rFonts w:hint="eastAsia" w:ascii="Times New Roman" w:hAnsi="Times New Roman" w:eastAsia="黑体"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（一）主要职能</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jc w:val="both"/>
        <w:textAlignment w:val="auto"/>
        <w:outlineLvl w:val="9"/>
        <w:rPr>
          <w:rFonts w:hint="eastAsia" w:ascii="Times New Roman" w:hAnsi="Times New Roman" w:eastAsia="仿宋_GB2312" w:cs="Times New Roman"/>
          <w:color w:val="auto"/>
          <w:spacing w:val="-2"/>
          <w:sz w:val="32"/>
          <w:szCs w:val="32"/>
          <w:lang w:val="en-US" w:eastAsia="zh-CN"/>
        </w:rPr>
      </w:pPr>
      <w:r>
        <w:rPr>
          <w:rFonts w:hint="eastAsia" w:ascii="Times New Roman" w:hAnsi="Times New Roman" w:eastAsia="仿宋_GB2312" w:cs="Times New Roman"/>
          <w:color w:val="auto"/>
          <w:spacing w:val="-2"/>
          <w:sz w:val="32"/>
          <w:szCs w:val="32"/>
          <w:lang w:val="en-US" w:eastAsia="zh-CN"/>
        </w:rPr>
        <w:t>中共长沙市开福区伍家岭街道工作委员会作为中共长沙市开福区委员会的派出机关，领导本地区经济、政治、文化、社会、生态文明建设等各项工作和基层社会治理；长沙市开福区伍家岭街道办事处依法行使政府管理和服务职能。主要职责是：（1）加强党的建设。（2）统筹区域发展。（3）组织公共服务。（4）实施公共管理。（5）维护公共安全。（6）监督执法管理。（7）动员社会参与。（8）保障社区自治。（9）完成区委、区政府交办的其他工作。（10）职能转变：一是取消城区街道招商引资、协税护税职能，将街道工作重心转为优化公共服务，为经济社会发展提供良好的营商环境；二是全面加强基层党的建设，提升党建引领城市基层治理的能力；加强对辖区内城市综合管理工作的组织实施和统筹协调职责；加强辖区内与居民密切相关的行政审批和公共服务的组织实施职责；加强维护辖区公共安全职责。</w:t>
      </w:r>
    </w:p>
    <w:p>
      <w:pPr>
        <w:numPr>
          <w:ilvl w:val="0"/>
          <w:numId w:val="0"/>
        </w:numPr>
        <w:snapToGrid w:val="0"/>
        <w:spacing w:line="520" w:lineRule="exact"/>
        <w:ind w:leftChars="200"/>
        <w:rPr>
          <w:rFonts w:hint="eastAsia" w:ascii="Times New Roman" w:hAnsi="Times New Roman" w:eastAsia="黑体"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（二）机构设置</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jc w:val="both"/>
        <w:textAlignment w:val="auto"/>
        <w:outlineLvl w:val="9"/>
        <w:rPr>
          <w:rFonts w:hint="eastAsia" w:ascii="Times New Roman" w:hAnsi="Times New Roman" w:eastAsia="黑体" w:cs="Times New Roman"/>
          <w:kern w:val="2"/>
          <w:sz w:val="32"/>
          <w:szCs w:val="32"/>
          <w:lang w:val="en-US" w:eastAsia="zh-CN" w:bidi="ar-SA"/>
        </w:rPr>
      </w:pPr>
      <w:r>
        <w:rPr>
          <w:rFonts w:hint="eastAsia" w:ascii="Times New Roman" w:hAnsi="Times New Roman" w:eastAsia="仿宋_GB2312" w:cs="Times New Roman"/>
          <w:color w:val="auto"/>
          <w:spacing w:val="-2"/>
          <w:sz w:val="32"/>
          <w:szCs w:val="32"/>
          <w:lang w:val="en-US" w:eastAsia="zh-CN"/>
        </w:rPr>
        <w:t>2020年街道设党政综合办、基层党建办、城</w:t>
      </w:r>
      <w:r>
        <w:rPr>
          <w:rFonts w:hint="default" w:ascii="Times New Roman" w:hAnsi="Times New Roman" w:eastAsia="仿宋_GB2312" w:cs="Times New Roman"/>
          <w:color w:val="auto"/>
          <w:spacing w:val="-2"/>
          <w:sz w:val="32"/>
          <w:szCs w:val="32"/>
          <w:lang w:val="en-US" w:eastAsia="zh-CN"/>
        </w:rPr>
        <w:t>市管理办、公共服务办、公共安全办5个内设机构；政务服务中心、网格化综合服务中心、退役军人服务站3个公益一类事业单位；纪检监察、人大工委、人民武装等机构；以及工会、共青团、妇联等组织。</w:t>
      </w:r>
      <w:r>
        <w:rPr>
          <w:rFonts w:hint="eastAsia" w:ascii="Times New Roman" w:hAnsi="Times New Roman" w:eastAsia="仿宋_GB2312" w:cs="Times New Roman"/>
          <w:color w:val="auto"/>
          <w:spacing w:val="-2"/>
          <w:sz w:val="32"/>
          <w:szCs w:val="32"/>
          <w:lang w:val="en-US" w:eastAsia="zh-CN"/>
        </w:rPr>
        <w:t>街道下辖蒋家垅、陡岭、科大佳园、花城、紫荆园、浏阳河、建湘新村7个社区。</w:t>
      </w:r>
    </w:p>
    <w:p>
      <w:pPr>
        <w:numPr>
          <w:ilvl w:val="0"/>
          <w:numId w:val="0"/>
        </w:numPr>
        <w:snapToGrid w:val="0"/>
        <w:spacing w:line="520" w:lineRule="exact"/>
        <w:ind w:leftChars="200"/>
        <w:rPr>
          <w:rFonts w:hint="eastAsia" w:ascii="Times New Roman" w:hAnsi="Times New Roman" w:eastAsia="黑体"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（三）人员情况</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jc w:val="both"/>
        <w:textAlignment w:val="auto"/>
        <w:outlineLvl w:val="9"/>
        <w:rPr>
          <w:rFonts w:hint="eastAsia" w:ascii="Times New Roman" w:hAnsi="Times New Roman" w:eastAsia="仿宋_GB2312" w:cs="Times New Roman"/>
          <w:color w:val="auto"/>
          <w:spacing w:val="-2"/>
          <w:sz w:val="32"/>
          <w:szCs w:val="32"/>
          <w:lang w:val="en-US" w:eastAsia="zh-CN"/>
        </w:rPr>
      </w:pPr>
      <w:r>
        <w:rPr>
          <w:rFonts w:hint="eastAsia" w:ascii="Times New Roman" w:hAnsi="Times New Roman" w:eastAsia="仿宋_GB2312" w:cs="Times New Roman"/>
          <w:color w:val="auto"/>
          <w:spacing w:val="-2"/>
          <w:sz w:val="32"/>
          <w:szCs w:val="32"/>
          <w:lang w:val="en-US" w:eastAsia="zh-CN"/>
        </w:rPr>
        <w:t>2020年底，本部门编制数51人，共有在职人数56人，其中：在岗人数56人；编外长期聘用人员6人；离退休人数63人，其中离休人员0人，退休人员63人。</w:t>
      </w:r>
    </w:p>
    <w:p>
      <w:pPr>
        <w:pStyle w:val="9"/>
        <w:widowControl/>
        <w:numPr>
          <w:ilvl w:val="0"/>
          <w:numId w:val="1"/>
        </w:numPr>
        <w:spacing w:line="600" w:lineRule="exact"/>
        <w:ind w:firstLineChars="0"/>
        <w:rPr>
          <w:rFonts w:ascii="Times New Roman" w:hAnsi="Times New Roman" w:eastAsia="黑体" w:cs="Times New Roman"/>
          <w:sz w:val="32"/>
          <w:szCs w:val="32"/>
        </w:rPr>
      </w:pPr>
      <w:r>
        <w:rPr>
          <w:rFonts w:ascii="Times New Roman" w:hAnsi="Times New Roman" w:eastAsia="黑体" w:cs="Times New Roman"/>
          <w:sz w:val="32"/>
          <w:szCs w:val="32"/>
        </w:rPr>
        <w:t>一般公共预算支出情况</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jc w:val="both"/>
        <w:textAlignment w:val="auto"/>
        <w:outlineLvl w:val="9"/>
        <w:rPr>
          <w:rFonts w:hint="default" w:ascii="Times New Roman" w:hAnsi="Times New Roman" w:eastAsia="仿宋_GB2312" w:cs="Times New Roman"/>
          <w:color w:val="auto"/>
          <w:spacing w:val="-2"/>
          <w:sz w:val="32"/>
          <w:szCs w:val="32"/>
          <w:lang w:val="en-US" w:eastAsia="zh-CN"/>
        </w:rPr>
      </w:pPr>
      <w:r>
        <w:rPr>
          <w:rFonts w:hint="eastAsia" w:ascii="Times New Roman" w:hAnsi="Times New Roman" w:eastAsia="仿宋_GB2312" w:cs="Times New Roman"/>
          <w:color w:val="auto"/>
          <w:spacing w:val="-2"/>
          <w:sz w:val="32"/>
          <w:szCs w:val="32"/>
          <w:lang w:val="en-US" w:eastAsia="zh-CN"/>
        </w:rPr>
        <w:t>2020年本部门实际支出6096.25万元，比上年减少140.89万元，下降2.26%。其中一般公共预算财政拨款支出5481.98万元，政府性基金预算财政拨款支出33.71万元，其他支出580.56万元。</w:t>
      </w:r>
    </w:p>
    <w:p>
      <w:pPr>
        <w:pStyle w:val="9"/>
        <w:widowControl/>
        <w:numPr>
          <w:ilvl w:val="0"/>
          <w:numId w:val="2"/>
        </w:numPr>
        <w:spacing w:line="600" w:lineRule="exact"/>
        <w:ind w:firstLineChars="0"/>
        <w:rPr>
          <w:rFonts w:ascii="Times New Roman" w:hAnsi="Times New Roman" w:eastAsia="黑体" w:cs="Times New Roman"/>
          <w:sz w:val="32"/>
          <w:szCs w:val="32"/>
        </w:rPr>
      </w:pPr>
      <w:r>
        <w:rPr>
          <w:rFonts w:ascii="Times New Roman" w:hAnsi="Times New Roman" w:eastAsia="黑体" w:cs="Times New Roman"/>
          <w:sz w:val="32"/>
          <w:szCs w:val="32"/>
        </w:rPr>
        <w:t>基本支出情况</w:t>
      </w:r>
    </w:p>
    <w:p>
      <w:pPr>
        <w:pStyle w:val="9"/>
        <w:keepNext w:val="0"/>
        <w:keepLines w:val="0"/>
        <w:pageBreakBefore w:val="0"/>
        <w:widowControl/>
        <w:numPr>
          <w:ilvl w:val="0"/>
          <w:numId w:val="0"/>
        </w:numPr>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仿宋_GB2312" w:cs="Times New Roman"/>
          <w:color w:val="auto"/>
          <w:spacing w:val="-2"/>
          <w:kern w:val="2"/>
          <w:sz w:val="32"/>
          <w:szCs w:val="32"/>
          <w:lang w:val="en-US" w:eastAsia="zh-CN" w:bidi="ar-SA"/>
        </w:rPr>
      </w:pPr>
      <w:r>
        <w:rPr>
          <w:rFonts w:hint="eastAsia" w:ascii="Times New Roman" w:hAnsi="Times New Roman" w:eastAsia="仿宋_GB2312" w:cs="Times New Roman"/>
          <w:color w:val="auto"/>
          <w:spacing w:val="-2"/>
          <w:kern w:val="2"/>
          <w:sz w:val="32"/>
          <w:szCs w:val="32"/>
          <w:lang w:val="en-US" w:eastAsia="zh-CN" w:bidi="ar-SA"/>
        </w:rPr>
        <w:t>2020年基本支出2203.77万元，比上年增加77.63万元，增长3.65%，</w:t>
      </w:r>
      <w:r>
        <w:rPr>
          <w:rFonts w:hint="eastAsia" w:ascii="Times New Roman" w:hAnsi="Times New Roman" w:eastAsia="仿宋_GB2312" w:cs="Times New Roman"/>
          <w:color w:val="auto"/>
          <w:spacing w:val="-2"/>
          <w:kern w:val="2"/>
          <w:sz w:val="32"/>
          <w:szCs w:val="32"/>
          <w:lang w:val="zh-CN" w:eastAsia="zh-CN" w:bidi="ar-SA"/>
        </w:rPr>
        <w:t>增长的主要原因是：有新招录事业编制工作人员</w:t>
      </w:r>
      <w:r>
        <w:rPr>
          <w:rFonts w:hint="eastAsia" w:ascii="Times New Roman" w:hAnsi="Times New Roman" w:eastAsia="仿宋_GB2312" w:cs="Times New Roman"/>
          <w:color w:val="auto"/>
          <w:spacing w:val="-2"/>
          <w:kern w:val="2"/>
          <w:sz w:val="32"/>
          <w:szCs w:val="32"/>
          <w:lang w:val="en-US" w:eastAsia="zh-CN" w:bidi="ar-SA"/>
        </w:rPr>
        <w:t>3人</w:t>
      </w:r>
      <w:r>
        <w:rPr>
          <w:rFonts w:hint="eastAsia" w:ascii="Times New Roman" w:hAnsi="Times New Roman" w:eastAsia="仿宋_GB2312" w:cs="Times New Roman"/>
          <w:color w:val="auto"/>
          <w:spacing w:val="-2"/>
          <w:kern w:val="2"/>
          <w:sz w:val="32"/>
          <w:szCs w:val="32"/>
          <w:lang w:val="zh-CN" w:eastAsia="zh-CN" w:bidi="ar-SA"/>
        </w:rPr>
        <w:t>及转业士官政策性安置</w:t>
      </w:r>
      <w:r>
        <w:rPr>
          <w:rFonts w:hint="eastAsia" w:ascii="Times New Roman" w:hAnsi="Times New Roman" w:eastAsia="仿宋_GB2312" w:cs="Times New Roman"/>
          <w:color w:val="auto"/>
          <w:spacing w:val="-2"/>
          <w:kern w:val="2"/>
          <w:sz w:val="32"/>
          <w:szCs w:val="32"/>
          <w:lang w:val="en-US" w:eastAsia="zh-CN" w:bidi="ar-SA"/>
        </w:rPr>
        <w:t>3人</w:t>
      </w:r>
      <w:r>
        <w:rPr>
          <w:rFonts w:hint="eastAsia" w:ascii="Times New Roman" w:hAnsi="Times New Roman" w:eastAsia="仿宋_GB2312" w:cs="Times New Roman"/>
          <w:color w:val="auto"/>
          <w:spacing w:val="-2"/>
          <w:kern w:val="2"/>
          <w:sz w:val="32"/>
          <w:szCs w:val="32"/>
          <w:lang w:val="zh-CN" w:eastAsia="zh-CN" w:bidi="ar-SA"/>
        </w:rPr>
        <w:t>，人员经费相应增加。基本支出</w:t>
      </w:r>
      <w:r>
        <w:rPr>
          <w:rFonts w:hint="eastAsia" w:ascii="Times New Roman" w:hAnsi="Times New Roman" w:eastAsia="仿宋_GB2312" w:cs="Times New Roman"/>
          <w:color w:val="auto"/>
          <w:spacing w:val="-2"/>
          <w:kern w:val="2"/>
          <w:sz w:val="32"/>
          <w:szCs w:val="32"/>
          <w:lang w:val="en-US" w:eastAsia="zh-CN" w:bidi="ar-SA"/>
        </w:rPr>
        <w:t>是为保障单位机构正常运转、完成日常工作任务而发生的各项支出，包括用于基本工资、津贴补贴、离退休干部生活补助等人员经费以及办公费、水电费、办公设备购置等日常公用经费。</w:t>
      </w:r>
    </w:p>
    <w:p>
      <w:pPr>
        <w:pStyle w:val="9"/>
        <w:widowControl/>
        <w:numPr>
          <w:ilvl w:val="0"/>
          <w:numId w:val="2"/>
        </w:numPr>
        <w:spacing w:line="600" w:lineRule="exact"/>
        <w:ind w:firstLineChars="0"/>
        <w:rPr>
          <w:rFonts w:ascii="Times New Roman" w:hAnsi="Times New Roman" w:eastAsia="黑体" w:cs="Times New Roman"/>
          <w:sz w:val="32"/>
          <w:szCs w:val="32"/>
        </w:rPr>
      </w:pPr>
      <w:r>
        <w:rPr>
          <w:rFonts w:ascii="Times New Roman" w:hAnsi="Times New Roman" w:eastAsia="黑体" w:cs="Times New Roman"/>
          <w:sz w:val="32"/>
          <w:szCs w:val="32"/>
        </w:rPr>
        <w:t>项目支出情况</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仿宋_GB2312" w:cs="Times New Roman"/>
          <w:color w:val="auto"/>
          <w:spacing w:val="-2"/>
          <w:sz w:val="32"/>
          <w:szCs w:val="32"/>
          <w:lang w:val="en-US" w:eastAsia="zh-CN"/>
        </w:rPr>
      </w:pPr>
      <w:r>
        <w:rPr>
          <w:rFonts w:hint="eastAsia" w:ascii="Times New Roman" w:hAnsi="Times New Roman" w:eastAsia="仿宋_GB2312" w:cs="Times New Roman"/>
          <w:color w:val="auto"/>
          <w:spacing w:val="-2"/>
          <w:sz w:val="32"/>
          <w:szCs w:val="32"/>
          <w:lang w:val="en-US" w:eastAsia="zh-CN"/>
        </w:rPr>
        <w:t>2020年项目支出3892.48万元，比上年减少218.53万元，下降5.32%；</w:t>
      </w:r>
      <w:r>
        <w:rPr>
          <w:rFonts w:hint="eastAsia" w:ascii="Times New Roman" w:hAnsi="Times New Roman" w:eastAsia="仿宋_GB2312" w:cs="Times New Roman"/>
          <w:color w:val="auto"/>
          <w:spacing w:val="-2"/>
          <w:sz w:val="32"/>
          <w:szCs w:val="32"/>
          <w:lang w:val="zh-CN" w:eastAsia="zh-CN"/>
        </w:rPr>
        <w:t>下降的主要原因是：受疫情影响全面缩减项目支出。</w:t>
      </w:r>
      <w:r>
        <w:rPr>
          <w:rFonts w:hint="eastAsia" w:ascii="Times New Roman" w:hAnsi="Times New Roman" w:eastAsia="仿宋_GB2312" w:cs="Times New Roman"/>
          <w:color w:val="auto"/>
          <w:spacing w:val="-2"/>
          <w:sz w:val="32"/>
          <w:szCs w:val="32"/>
          <w:lang w:val="en-US" w:eastAsia="zh-CN"/>
        </w:rPr>
        <w:t>2020年申报项目共5个，包含城市管理、公共服务、经济发展、社会管理、其他事务。</w:t>
      </w:r>
      <w:r>
        <w:rPr>
          <w:rFonts w:hint="eastAsia" w:cs="Times New Roman"/>
          <w:color w:val="auto"/>
          <w:spacing w:val="-2"/>
          <w:sz w:val="32"/>
          <w:szCs w:val="32"/>
          <w:lang w:val="en-US" w:eastAsia="zh-CN"/>
        </w:rPr>
        <w:t>其中城市管理项目支出956.19万元，</w:t>
      </w:r>
      <w:r>
        <w:rPr>
          <w:rFonts w:hint="eastAsia" w:ascii="仿宋" w:hAnsi="仿宋" w:eastAsia="仿宋" w:cs="仿宋"/>
          <w:i w:val="0"/>
          <w:caps w:val="0"/>
          <w:color w:val="000000"/>
          <w:spacing w:val="0"/>
          <w:sz w:val="32"/>
          <w:szCs w:val="32"/>
          <w:highlight w:val="none"/>
          <w:shd w:val="clear" w:fill="FFFFFF"/>
        </w:rPr>
        <w:t>主要用于市容环境卫生、城管中队经费、环保工作、日常整治、拆控违经费、防汛防旱、爱卫、餐厨垃圾整治、</w:t>
      </w:r>
      <w:r>
        <w:rPr>
          <w:rFonts w:hint="eastAsia" w:ascii="Times New Roman" w:hAnsi="Times New Roman" w:eastAsia="仿宋_GB2312" w:cs="Times New Roman"/>
          <w:color w:val="auto"/>
          <w:spacing w:val="-2"/>
          <w:sz w:val="32"/>
          <w:szCs w:val="32"/>
          <w:lang w:val="en-US" w:eastAsia="zh-CN"/>
        </w:rPr>
        <w:t>数字化工作、提质提档、招牌整治、河长制工作、文明创建、安全生产、食品安全、垃圾分类等；公共服务</w:t>
      </w:r>
      <w:r>
        <w:rPr>
          <w:rFonts w:hint="eastAsia" w:cs="Times New Roman"/>
          <w:color w:val="auto"/>
          <w:spacing w:val="-2"/>
          <w:sz w:val="32"/>
          <w:szCs w:val="32"/>
          <w:lang w:val="en-US" w:eastAsia="zh-CN"/>
        </w:rPr>
        <w:t>项目</w:t>
      </w:r>
      <w:r>
        <w:rPr>
          <w:rFonts w:hint="eastAsia" w:ascii="Times New Roman" w:hAnsi="Times New Roman" w:eastAsia="仿宋_GB2312" w:cs="Times New Roman"/>
          <w:color w:val="auto"/>
          <w:spacing w:val="-2"/>
          <w:sz w:val="32"/>
          <w:szCs w:val="32"/>
          <w:lang w:val="en-US" w:eastAsia="zh-CN"/>
        </w:rPr>
        <w:t>支出</w:t>
      </w:r>
      <w:r>
        <w:rPr>
          <w:rFonts w:hint="eastAsia" w:cs="Times New Roman"/>
          <w:color w:val="auto"/>
          <w:spacing w:val="-2"/>
          <w:sz w:val="32"/>
          <w:szCs w:val="32"/>
          <w:lang w:val="en-US" w:eastAsia="zh-CN"/>
        </w:rPr>
        <w:t>1697.59</w:t>
      </w:r>
      <w:r>
        <w:rPr>
          <w:rFonts w:hint="eastAsia" w:ascii="Times New Roman" w:hAnsi="Times New Roman" w:eastAsia="仿宋_GB2312" w:cs="Times New Roman"/>
          <w:color w:val="auto"/>
          <w:spacing w:val="-2"/>
          <w:sz w:val="32"/>
          <w:szCs w:val="32"/>
          <w:lang w:val="en-US" w:eastAsia="zh-CN"/>
        </w:rPr>
        <w:t>万元，主要用于社会救助、居家养老服务、老龄工作、救灾救济、拥军优属、劳务就业、</w:t>
      </w:r>
      <w:r>
        <w:rPr>
          <w:rFonts w:hint="eastAsia" w:ascii="Times New Roman" w:hAnsi="Times New Roman" w:cs="Times New Roman"/>
          <w:color w:val="auto"/>
          <w:spacing w:val="-2"/>
          <w:sz w:val="32"/>
          <w:szCs w:val="32"/>
          <w:lang w:val="en-US" w:eastAsia="zh-CN"/>
        </w:rPr>
        <w:t>惠民项目、</w:t>
      </w:r>
      <w:r>
        <w:rPr>
          <w:rFonts w:hint="eastAsia" w:ascii="Times New Roman" w:hAnsi="Times New Roman" w:eastAsia="仿宋_GB2312" w:cs="Times New Roman"/>
          <w:color w:val="auto"/>
          <w:spacing w:val="-2"/>
          <w:sz w:val="32"/>
          <w:szCs w:val="32"/>
          <w:lang w:val="en-US" w:eastAsia="zh-CN"/>
        </w:rPr>
        <w:t>社会保障、社区社会化组织管理、卫生、计生等；经济发展</w:t>
      </w:r>
      <w:r>
        <w:rPr>
          <w:rFonts w:hint="eastAsia" w:cs="Times New Roman"/>
          <w:color w:val="auto"/>
          <w:spacing w:val="-2"/>
          <w:sz w:val="32"/>
          <w:szCs w:val="32"/>
          <w:lang w:val="en-US" w:eastAsia="zh-CN"/>
        </w:rPr>
        <w:t>项目</w:t>
      </w:r>
      <w:r>
        <w:rPr>
          <w:rFonts w:hint="eastAsia" w:ascii="Times New Roman" w:hAnsi="Times New Roman" w:eastAsia="仿宋_GB2312" w:cs="Times New Roman"/>
          <w:color w:val="auto"/>
          <w:spacing w:val="-2"/>
          <w:sz w:val="32"/>
          <w:szCs w:val="32"/>
          <w:lang w:val="en-US" w:eastAsia="zh-CN"/>
        </w:rPr>
        <w:t>支出</w:t>
      </w:r>
      <w:r>
        <w:rPr>
          <w:rFonts w:hint="eastAsia" w:cs="Times New Roman"/>
          <w:color w:val="auto"/>
          <w:spacing w:val="-2"/>
          <w:sz w:val="32"/>
          <w:szCs w:val="32"/>
          <w:lang w:val="en-US" w:eastAsia="zh-CN"/>
        </w:rPr>
        <w:t>103.15</w:t>
      </w:r>
      <w:r>
        <w:rPr>
          <w:rFonts w:hint="eastAsia" w:ascii="Times New Roman" w:hAnsi="Times New Roman" w:eastAsia="仿宋_GB2312" w:cs="Times New Roman"/>
          <w:color w:val="auto"/>
          <w:spacing w:val="-2"/>
          <w:sz w:val="32"/>
          <w:szCs w:val="32"/>
          <w:lang w:val="en-US" w:eastAsia="zh-CN"/>
        </w:rPr>
        <w:t>万元，主要</w:t>
      </w:r>
      <w:r>
        <w:rPr>
          <w:rFonts w:hint="eastAsia" w:ascii="Times New Roman" w:hAnsi="Times New Roman" w:cs="Times New Roman"/>
          <w:color w:val="auto"/>
          <w:spacing w:val="-2"/>
          <w:sz w:val="32"/>
          <w:szCs w:val="32"/>
          <w:lang w:val="en-US" w:eastAsia="zh-CN"/>
        </w:rPr>
        <w:t>用于</w:t>
      </w:r>
      <w:r>
        <w:rPr>
          <w:rFonts w:hint="eastAsia" w:ascii="Times New Roman" w:hAnsi="Times New Roman" w:eastAsia="仿宋_GB2312" w:cs="Times New Roman"/>
          <w:color w:val="auto"/>
          <w:spacing w:val="-2"/>
          <w:sz w:val="32"/>
          <w:szCs w:val="32"/>
          <w:lang w:val="en-US" w:eastAsia="zh-CN"/>
        </w:rPr>
        <w:t>招商引资及产业发展、统计、第7次人口普查、金融、打非工作、重点项目建设工作、处遗工作、科普工作、财源建设、财政所标准化建设等工作；社会管理</w:t>
      </w:r>
      <w:r>
        <w:rPr>
          <w:rFonts w:hint="eastAsia" w:cs="Times New Roman"/>
          <w:color w:val="auto"/>
          <w:spacing w:val="-2"/>
          <w:sz w:val="32"/>
          <w:szCs w:val="32"/>
          <w:lang w:val="en-US" w:eastAsia="zh-CN"/>
        </w:rPr>
        <w:t>项目</w:t>
      </w:r>
      <w:r>
        <w:rPr>
          <w:rFonts w:hint="eastAsia" w:ascii="Times New Roman" w:hAnsi="Times New Roman" w:eastAsia="仿宋_GB2312" w:cs="Times New Roman"/>
          <w:color w:val="auto"/>
          <w:spacing w:val="-2"/>
          <w:sz w:val="32"/>
          <w:szCs w:val="32"/>
          <w:lang w:val="en-US" w:eastAsia="zh-CN"/>
        </w:rPr>
        <w:t>支出</w:t>
      </w:r>
      <w:r>
        <w:rPr>
          <w:rFonts w:hint="eastAsia" w:cs="Times New Roman"/>
          <w:color w:val="auto"/>
          <w:spacing w:val="-2"/>
          <w:sz w:val="32"/>
          <w:szCs w:val="32"/>
          <w:lang w:val="en-US" w:eastAsia="zh-CN"/>
        </w:rPr>
        <w:t>778.84</w:t>
      </w:r>
      <w:r>
        <w:rPr>
          <w:rFonts w:hint="eastAsia" w:ascii="Times New Roman" w:hAnsi="Times New Roman" w:eastAsia="仿宋_GB2312" w:cs="Times New Roman"/>
          <w:color w:val="auto"/>
          <w:spacing w:val="-2"/>
          <w:sz w:val="32"/>
          <w:szCs w:val="32"/>
          <w:lang w:val="en-US" w:eastAsia="zh-CN"/>
        </w:rPr>
        <w:t>万元，主要用于党建、纪检、武装、司法、维护稳定等；其他事务</w:t>
      </w:r>
      <w:r>
        <w:rPr>
          <w:rFonts w:hint="eastAsia" w:cs="Times New Roman"/>
          <w:color w:val="auto"/>
          <w:spacing w:val="-2"/>
          <w:sz w:val="32"/>
          <w:szCs w:val="32"/>
          <w:lang w:val="en-US" w:eastAsia="zh-CN"/>
        </w:rPr>
        <w:t>项目支出356.71</w:t>
      </w:r>
      <w:r>
        <w:rPr>
          <w:rFonts w:hint="eastAsia" w:ascii="Times New Roman" w:hAnsi="Times New Roman" w:eastAsia="仿宋_GB2312" w:cs="Times New Roman"/>
          <w:color w:val="auto"/>
          <w:spacing w:val="-2"/>
          <w:sz w:val="32"/>
          <w:szCs w:val="32"/>
          <w:lang w:val="en-US" w:eastAsia="zh-CN"/>
        </w:rPr>
        <w:t>万元，</w:t>
      </w:r>
      <w:r>
        <w:rPr>
          <w:rFonts w:hint="eastAsia" w:ascii="Times New Roman" w:hAnsi="Times New Roman" w:cs="Times New Roman"/>
          <w:color w:val="auto"/>
          <w:spacing w:val="-2"/>
          <w:sz w:val="32"/>
          <w:szCs w:val="32"/>
          <w:lang w:val="en-US" w:eastAsia="zh-CN"/>
        </w:rPr>
        <w:t>主要用于</w:t>
      </w:r>
      <w:r>
        <w:rPr>
          <w:rFonts w:hint="eastAsia" w:ascii="Times New Roman" w:hAnsi="Times New Roman" w:eastAsia="仿宋_GB2312" w:cs="Times New Roman"/>
          <w:color w:val="auto"/>
          <w:spacing w:val="-2"/>
          <w:sz w:val="32"/>
          <w:szCs w:val="32"/>
          <w:lang w:val="en-US" w:eastAsia="zh-CN"/>
        </w:rPr>
        <w:t>14位社区退休人员经费及街道集中支付预留的不可预估的费用。</w:t>
      </w:r>
    </w:p>
    <w:p>
      <w:pPr>
        <w:widowControl/>
        <w:spacing w:line="600" w:lineRule="exact"/>
        <w:ind w:firstLine="645"/>
        <w:jc w:val="left"/>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三</w:t>
      </w:r>
      <w:r>
        <w:rPr>
          <w:rFonts w:ascii="Times New Roman" w:hAnsi="Times New Roman" w:eastAsia="黑体" w:cs="Times New Roman"/>
          <w:sz w:val="32"/>
          <w:szCs w:val="32"/>
        </w:rPr>
        <w:t>、部门整体支出绩效情况</w:t>
      </w:r>
    </w:p>
    <w:p>
      <w:pPr>
        <w:widowControl/>
        <w:snapToGrid w:val="0"/>
        <w:spacing w:line="560" w:lineRule="exact"/>
        <w:ind w:firstLine="640" w:firstLineChars="200"/>
        <w:jc w:val="left"/>
        <w:rPr>
          <w:rFonts w:hint="eastAsia" w:ascii="Times New Roman" w:hAnsi="Times New Roman" w:eastAsia="黑体"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（一）绩效目标设置情况</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jc w:val="both"/>
        <w:textAlignment w:val="auto"/>
        <w:outlineLvl w:val="9"/>
        <w:rPr>
          <w:rFonts w:hint="default" w:ascii="Times New Roman" w:hAnsi="Times New Roman" w:eastAsia="仿宋_GB2312" w:cs="Times New Roman"/>
          <w:color w:val="auto"/>
          <w:spacing w:val="-2"/>
          <w:sz w:val="32"/>
          <w:szCs w:val="32"/>
          <w:lang w:val="en-US" w:eastAsia="zh-CN"/>
        </w:rPr>
      </w:pPr>
      <w:r>
        <w:rPr>
          <w:rFonts w:hint="eastAsia" w:ascii="Times New Roman" w:hAnsi="Times New Roman" w:eastAsia="仿宋_GB2312" w:cs="Times New Roman"/>
          <w:color w:val="auto"/>
          <w:spacing w:val="-2"/>
          <w:sz w:val="32"/>
          <w:szCs w:val="32"/>
          <w:lang w:val="en-US" w:eastAsia="zh-CN"/>
        </w:rPr>
        <w:t>2020年部门整体支出绩效目标分为部门产出指标和部门效益指标。部门产出指标具体设置为：①质量指标：保障街道机关干部和14名社区退休人员及街道日常支出，确保各项工作任务顺利完成；②时效指标：2020年年底完成所有任务目标；③成本指标：严格控制预算，根据决算要求做到一般性支出缩减10%；④数量指标：重点工作办结率达100%，政府采购执行率95%，部门整体支出支付进度合理。部门效益指标具体设置为：①社会公众及服务对象满意度：持续改善和保障民生工作，不断增强居民群众的获得感、幸福感和满意度；②经济效益指标：持续优化政务服务和营商环境，用心帮扶服务企业，确保在疫情影响下迅速恢复生产生活秩序，推进我街道经济发展实现量质齐升；③社会效益指标：坚决贯彻落实区委区政府部署要求，统筹抓好城市管理、安全生产、公共服务、基层党建、文明创建、社会治理等各项工作，营造良好生产生活环境；④生态效益指标：坚持新发展理念，统筹兼顾抓好经济发展和生态环境保护，实现高质量、可持续发展。</w:t>
      </w:r>
    </w:p>
    <w:p>
      <w:pPr>
        <w:widowControl/>
        <w:snapToGrid w:val="0"/>
        <w:spacing w:line="560" w:lineRule="exact"/>
        <w:ind w:firstLine="640" w:firstLineChars="200"/>
        <w:jc w:val="left"/>
        <w:rPr>
          <w:rFonts w:hint="eastAsia" w:ascii="Times New Roman" w:hAnsi="Times New Roman" w:eastAsia="黑体"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（二）绩效目标完成情况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00" w:firstLineChars="200"/>
        <w:jc w:val="left"/>
        <w:textAlignment w:val="auto"/>
        <w:rPr>
          <w:rStyle w:val="8"/>
          <w:rFonts w:hint="default" w:ascii="黑体" w:hAnsi="黑体" w:eastAsia="黑体" w:cs="黑体"/>
          <w:b w:val="0"/>
          <w:bCs/>
          <w:i w:val="0"/>
          <w:caps w:val="0"/>
          <w:color w:val="030303"/>
          <w:spacing w:val="0"/>
          <w:sz w:val="30"/>
          <w:szCs w:val="30"/>
          <w:shd w:val="clear" w:fill="FFFFFF"/>
          <w:lang w:val="en-US" w:eastAsia="zh-CN"/>
        </w:rPr>
      </w:pPr>
      <w:r>
        <w:rPr>
          <w:rStyle w:val="8"/>
          <w:rFonts w:hint="eastAsia" w:ascii="黑体" w:hAnsi="黑体" w:eastAsia="黑体" w:cs="黑体"/>
          <w:b w:val="0"/>
          <w:bCs/>
          <w:i w:val="0"/>
          <w:caps w:val="0"/>
          <w:color w:val="030303"/>
          <w:spacing w:val="0"/>
          <w:sz w:val="30"/>
          <w:szCs w:val="30"/>
          <w:shd w:val="clear" w:fill="FFFFFF"/>
          <w:lang w:val="en-US" w:eastAsia="zh-CN"/>
        </w:rPr>
        <w:t>1、</w:t>
      </w:r>
      <w:r>
        <w:rPr>
          <w:rStyle w:val="8"/>
          <w:rFonts w:hint="default" w:ascii="黑体" w:hAnsi="黑体" w:eastAsia="黑体" w:cs="黑体"/>
          <w:b w:val="0"/>
          <w:bCs/>
          <w:i w:val="0"/>
          <w:caps w:val="0"/>
          <w:color w:val="030303"/>
          <w:spacing w:val="0"/>
          <w:sz w:val="30"/>
          <w:szCs w:val="30"/>
          <w:shd w:val="clear" w:fill="FFFFFF"/>
          <w:lang w:val="en-US" w:eastAsia="zh-CN"/>
        </w:rPr>
        <w:t>经济发展</w:t>
      </w:r>
      <w:r>
        <w:rPr>
          <w:rStyle w:val="8"/>
          <w:rFonts w:hint="eastAsia" w:ascii="黑体" w:hAnsi="黑体" w:eastAsia="黑体" w:cs="黑体"/>
          <w:b w:val="0"/>
          <w:bCs/>
          <w:i w:val="0"/>
          <w:caps w:val="0"/>
          <w:color w:val="030303"/>
          <w:spacing w:val="0"/>
          <w:sz w:val="30"/>
          <w:szCs w:val="30"/>
          <w:shd w:val="clear" w:fill="FFFFFF"/>
          <w:lang w:val="en-US" w:eastAsia="zh-CN"/>
        </w:rPr>
        <w:t>逆势上扬</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楷体_GB2312" w:cs="Times New Roman"/>
          <w:b/>
          <w:bCs/>
          <w:sz w:val="32"/>
          <w:szCs w:val="32"/>
          <w:lang w:val="en-US" w:eastAsia="zh-CN"/>
        </w:rPr>
        <w:t>一是</w:t>
      </w:r>
      <w:r>
        <w:rPr>
          <w:rFonts w:hint="default" w:ascii="Times New Roman" w:hAnsi="Times New Roman" w:eastAsia="楷体_GB2312" w:cs="Times New Roman"/>
          <w:b/>
          <w:bCs/>
          <w:sz w:val="32"/>
          <w:szCs w:val="32"/>
          <w:lang w:val="en-US" w:eastAsia="zh-CN"/>
        </w:rPr>
        <w:t>经济指标</w:t>
      </w:r>
      <w:r>
        <w:rPr>
          <w:rFonts w:hint="eastAsia" w:ascii="Times New Roman" w:hAnsi="Times New Roman" w:eastAsia="楷体_GB2312" w:cs="Times New Roman"/>
          <w:b/>
          <w:bCs/>
          <w:sz w:val="32"/>
          <w:szCs w:val="32"/>
          <w:lang w:val="en-US" w:eastAsia="zh-CN"/>
        </w:rPr>
        <w:t>量质齐升</w:t>
      </w:r>
      <w:r>
        <w:rPr>
          <w:rFonts w:hint="default" w:ascii="Times New Roman" w:hAnsi="Times New Roman" w:eastAsia="楷体_GB2312" w:cs="Times New Roman"/>
          <w:b/>
          <w:bCs/>
          <w:sz w:val="32"/>
          <w:szCs w:val="32"/>
          <w:lang w:val="en-US" w:eastAsia="zh-CN"/>
        </w:rPr>
        <w:t>。</w:t>
      </w:r>
      <w:r>
        <w:rPr>
          <w:rFonts w:hint="default" w:ascii="Times New Roman" w:hAnsi="Times New Roman" w:eastAsia="仿宋_GB2312" w:cs="Times New Roman"/>
          <w:b w:val="0"/>
          <w:bCs w:val="0"/>
          <w:sz w:val="32"/>
          <w:szCs w:val="32"/>
          <w:lang w:val="en-US" w:eastAsia="zh-CN"/>
        </w:rPr>
        <w:t>截至</w:t>
      </w:r>
      <w:r>
        <w:rPr>
          <w:rFonts w:hint="eastAsia"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lang w:val="en-US" w:eastAsia="zh-CN"/>
        </w:rPr>
        <w:t>月，完成财税收入</w:t>
      </w:r>
      <w:r>
        <w:rPr>
          <w:rFonts w:hint="eastAsia" w:ascii="Times New Roman" w:hAnsi="Times New Roman" w:eastAsia="仿宋_GB2312" w:cs="Times New Roman"/>
          <w:sz w:val="32"/>
          <w:szCs w:val="32"/>
          <w:lang w:val="en-US" w:eastAsia="zh-CN"/>
        </w:rPr>
        <w:t>56873</w:t>
      </w:r>
      <w:r>
        <w:rPr>
          <w:rFonts w:hint="default" w:ascii="Times New Roman" w:hAnsi="Times New Roman" w:eastAsia="仿宋_GB2312" w:cs="Times New Roman"/>
          <w:sz w:val="32"/>
          <w:szCs w:val="32"/>
          <w:lang w:val="en-US" w:eastAsia="zh-CN"/>
        </w:rPr>
        <w:t>万元</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社会零售品限上总额</w:t>
      </w:r>
      <w:r>
        <w:rPr>
          <w:rFonts w:hint="eastAsia" w:ascii="Times New Roman" w:hAnsi="Times New Roman" w:eastAsia="仿宋_GB2312" w:cs="Times New Roman"/>
          <w:sz w:val="32"/>
          <w:szCs w:val="32"/>
          <w:lang w:val="en-US" w:eastAsia="zh-CN"/>
        </w:rPr>
        <w:t>2.79</w:t>
      </w:r>
      <w:r>
        <w:rPr>
          <w:rFonts w:hint="default" w:ascii="Times New Roman" w:hAnsi="Times New Roman" w:eastAsia="仿宋_GB2312" w:cs="Times New Roman"/>
          <w:sz w:val="32"/>
          <w:szCs w:val="32"/>
          <w:lang w:val="en-US" w:eastAsia="zh-CN"/>
        </w:rPr>
        <w:t>亿元</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非营利性服务业</w:t>
      </w:r>
      <w:r>
        <w:rPr>
          <w:rFonts w:hint="eastAsia" w:ascii="Times New Roman" w:hAnsi="Times New Roman" w:eastAsia="仿宋_GB2312" w:cs="Times New Roman"/>
          <w:sz w:val="32"/>
          <w:szCs w:val="32"/>
          <w:lang w:val="en-US" w:eastAsia="zh-CN"/>
        </w:rPr>
        <w:t>1.81</w:t>
      </w:r>
      <w:r>
        <w:rPr>
          <w:rFonts w:hint="default" w:ascii="Times New Roman" w:hAnsi="Times New Roman" w:eastAsia="仿宋_GB2312" w:cs="Times New Roman"/>
          <w:sz w:val="32"/>
          <w:szCs w:val="32"/>
          <w:lang w:val="en-US" w:eastAsia="zh-CN"/>
        </w:rPr>
        <w:t>亿元</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固定投资</w:t>
      </w:r>
      <w:r>
        <w:rPr>
          <w:rFonts w:hint="eastAsia" w:ascii="Times New Roman" w:hAnsi="Times New Roman" w:eastAsia="仿宋_GB2312" w:cs="Times New Roman"/>
          <w:sz w:val="32"/>
          <w:szCs w:val="32"/>
          <w:lang w:val="en-US" w:eastAsia="zh-CN"/>
        </w:rPr>
        <w:t>18.3</w:t>
      </w:r>
      <w:r>
        <w:rPr>
          <w:rFonts w:hint="default" w:ascii="Times New Roman" w:hAnsi="Times New Roman" w:eastAsia="仿宋_GB2312" w:cs="Times New Roman"/>
          <w:sz w:val="32"/>
          <w:szCs w:val="32"/>
          <w:lang w:val="en-US" w:eastAsia="zh-CN"/>
        </w:rPr>
        <w:t>亿元</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规模工业</w:t>
      </w:r>
      <w:r>
        <w:rPr>
          <w:rFonts w:hint="eastAsia" w:ascii="Times New Roman" w:hAnsi="Times New Roman" w:eastAsia="仿宋_GB2312" w:cs="Times New Roman"/>
          <w:sz w:val="32"/>
          <w:szCs w:val="32"/>
          <w:lang w:val="en-US" w:eastAsia="zh-CN"/>
        </w:rPr>
        <w:t>0.84</w:t>
      </w:r>
      <w:r>
        <w:rPr>
          <w:rFonts w:hint="default" w:ascii="Times New Roman" w:hAnsi="Times New Roman" w:eastAsia="仿宋_GB2312" w:cs="Times New Roman"/>
          <w:sz w:val="32"/>
          <w:szCs w:val="32"/>
          <w:lang w:val="en-US" w:eastAsia="zh-CN"/>
        </w:rPr>
        <w:t>亿元</w:t>
      </w:r>
      <w:r>
        <w:rPr>
          <w:rFonts w:hint="eastAsia" w:ascii="Times New Roman" w:hAnsi="Times New Roman" w:eastAsia="仿宋_GB2312" w:cs="Times New Roman"/>
          <w:sz w:val="32"/>
          <w:szCs w:val="32"/>
          <w:lang w:val="en-US" w:eastAsia="zh-CN"/>
        </w:rPr>
        <w:t>；前三季度完成</w:t>
      </w:r>
      <w:r>
        <w:rPr>
          <w:rFonts w:hint="default" w:ascii="Times New Roman" w:hAnsi="Times New Roman" w:eastAsia="仿宋_GB2312" w:cs="Times New Roman"/>
          <w:sz w:val="32"/>
          <w:szCs w:val="32"/>
          <w:lang w:val="en-US" w:eastAsia="zh-CN"/>
        </w:rPr>
        <w:t>高新技术产值</w:t>
      </w:r>
      <w:r>
        <w:rPr>
          <w:rFonts w:hint="eastAsia" w:ascii="Times New Roman" w:hAnsi="Times New Roman" w:eastAsia="仿宋_GB2312" w:cs="Times New Roman"/>
          <w:sz w:val="32"/>
          <w:szCs w:val="32"/>
          <w:lang w:val="en-US" w:eastAsia="zh-CN"/>
        </w:rPr>
        <w:t>10.3</w:t>
      </w:r>
      <w:r>
        <w:rPr>
          <w:rFonts w:hint="default" w:ascii="Times New Roman" w:hAnsi="Times New Roman" w:eastAsia="仿宋_GB2312" w:cs="Times New Roman"/>
          <w:sz w:val="32"/>
          <w:szCs w:val="32"/>
          <w:lang w:val="en-US" w:eastAsia="zh-CN"/>
        </w:rPr>
        <w:t>亿元</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建筑业总产值</w:t>
      </w:r>
      <w:r>
        <w:rPr>
          <w:rFonts w:hint="eastAsia" w:ascii="Times New Roman" w:hAnsi="Times New Roman" w:eastAsia="仿宋_GB2312" w:cs="Times New Roman"/>
          <w:sz w:val="32"/>
          <w:szCs w:val="32"/>
          <w:lang w:val="en-US" w:eastAsia="zh-CN"/>
        </w:rPr>
        <w:t>10.2</w:t>
      </w:r>
      <w:r>
        <w:rPr>
          <w:rFonts w:hint="default" w:ascii="Times New Roman" w:hAnsi="Times New Roman" w:eastAsia="仿宋_GB2312" w:cs="Times New Roman"/>
          <w:sz w:val="32"/>
          <w:szCs w:val="32"/>
          <w:lang w:val="en-US" w:eastAsia="zh-CN"/>
        </w:rPr>
        <w:t>亿元</w:t>
      </w:r>
      <w:r>
        <w:rPr>
          <w:rFonts w:hint="default"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sz w:val="32"/>
          <w:szCs w:val="32"/>
          <w:lang w:val="en-US" w:eastAsia="zh-CN"/>
        </w:rPr>
        <w:t>新增“四上企业”6家</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软件信息业新增承载空间17720</w:t>
      </w:r>
      <w:r>
        <w:rPr>
          <w:rFonts w:hint="default" w:ascii="Times New Roman" w:hAnsi="Times New Roman" w:eastAsia="宋体" w:cs="Times New Roman"/>
          <w:sz w:val="32"/>
          <w:szCs w:val="32"/>
          <w:lang w:val="en-US" w:eastAsia="zh-CN"/>
        </w:rPr>
        <w:t>㎡</w:t>
      </w:r>
      <w:r>
        <w:rPr>
          <w:rFonts w:hint="default" w:ascii="Times New Roman" w:hAnsi="Times New Roman" w:eastAsia="仿宋_GB2312" w:cs="Times New Roman"/>
          <w:sz w:val="32"/>
          <w:szCs w:val="32"/>
          <w:lang w:val="en-US" w:eastAsia="zh-CN"/>
        </w:rPr>
        <w:t>，新增从业人员1392人。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楷体_GB2312" w:cs="Times New Roman"/>
          <w:b/>
          <w:bCs/>
          <w:sz w:val="32"/>
          <w:szCs w:val="32"/>
          <w:lang w:val="en-US" w:eastAsia="zh-CN"/>
        </w:rPr>
        <w:t>二是</w:t>
      </w:r>
      <w:r>
        <w:rPr>
          <w:rFonts w:hint="default" w:ascii="Times New Roman" w:hAnsi="Times New Roman" w:eastAsia="楷体_GB2312" w:cs="Times New Roman"/>
          <w:b/>
          <w:bCs/>
          <w:sz w:val="32"/>
          <w:szCs w:val="32"/>
          <w:lang w:val="en-US" w:eastAsia="zh-CN"/>
        </w:rPr>
        <w:t>营商环境</w:t>
      </w:r>
      <w:r>
        <w:rPr>
          <w:rFonts w:hint="eastAsia" w:ascii="Times New Roman" w:hAnsi="Times New Roman" w:eastAsia="楷体_GB2312" w:cs="Times New Roman"/>
          <w:b/>
          <w:bCs/>
          <w:sz w:val="32"/>
          <w:szCs w:val="32"/>
          <w:lang w:val="en-US" w:eastAsia="zh-CN"/>
        </w:rPr>
        <w:t>提质</w:t>
      </w:r>
      <w:r>
        <w:rPr>
          <w:rFonts w:hint="default" w:ascii="Times New Roman" w:hAnsi="Times New Roman" w:eastAsia="楷体_GB2312" w:cs="Times New Roman"/>
          <w:b/>
          <w:bCs/>
          <w:sz w:val="32"/>
          <w:szCs w:val="32"/>
          <w:lang w:val="en-US" w:eastAsia="zh-CN"/>
        </w:rPr>
        <w:t>优化。</w:t>
      </w:r>
      <w:r>
        <w:rPr>
          <w:rFonts w:hint="default" w:ascii="Times New Roman" w:hAnsi="Times New Roman" w:eastAsia="仿宋_GB2312" w:cs="Times New Roman"/>
          <w:sz w:val="32"/>
          <w:szCs w:val="32"/>
          <w:lang w:val="en-US" w:eastAsia="zh-CN"/>
        </w:rPr>
        <w:t>完善</w:t>
      </w:r>
      <w:r>
        <w:rPr>
          <w:rFonts w:hint="eastAsia" w:ascii="Times New Roman" w:hAnsi="Times New Roman" w:eastAsia="仿宋_GB2312" w:cs="Times New Roman"/>
          <w:sz w:val="32"/>
          <w:szCs w:val="32"/>
          <w:lang w:eastAsia="zh-CN"/>
        </w:rPr>
        <w:t>班子联点</w:t>
      </w:r>
      <w:r>
        <w:rPr>
          <w:rFonts w:hint="default" w:ascii="Times New Roman" w:hAnsi="Times New Roman" w:eastAsia="仿宋_GB2312" w:cs="Times New Roman"/>
          <w:sz w:val="32"/>
          <w:szCs w:val="32"/>
        </w:rPr>
        <w:t>楼宇制度，</w:t>
      </w:r>
      <w:r>
        <w:rPr>
          <w:rFonts w:hint="default" w:ascii="Times New Roman" w:hAnsi="Times New Roman" w:eastAsia="仿宋_GB2312" w:cs="Times New Roman"/>
          <w:sz w:val="32"/>
          <w:szCs w:val="32"/>
          <w:lang w:val="en-US" w:eastAsia="zh-CN"/>
        </w:rPr>
        <w:t>成立“政企服务站”，班子成员带头</w:t>
      </w:r>
      <w:r>
        <w:rPr>
          <w:rFonts w:hint="default" w:ascii="Times New Roman" w:hAnsi="Times New Roman" w:eastAsia="仿宋_GB2312" w:cs="Times New Roman"/>
          <w:color w:val="auto"/>
          <w:sz w:val="32"/>
          <w:szCs w:val="32"/>
        </w:rPr>
        <w:t>“扫楼”</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sz w:val="32"/>
          <w:szCs w:val="32"/>
          <w:lang w:val="en-US" w:eastAsia="zh-CN"/>
        </w:rPr>
        <w:t>走访、座谈</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sz w:val="32"/>
          <w:szCs w:val="32"/>
          <w:lang w:val="en-US" w:eastAsia="zh-CN"/>
        </w:rPr>
        <w:t>帮助企业复工复产、招商促销，</w:t>
      </w:r>
      <w:r>
        <w:rPr>
          <w:rFonts w:hint="default" w:ascii="Times New Roman" w:hAnsi="Times New Roman" w:eastAsia="仿宋_GB2312" w:cs="Times New Roman"/>
          <w:sz w:val="32"/>
          <w:szCs w:val="32"/>
          <w:lang w:val="en-US" w:eastAsia="zh-CN"/>
        </w:rPr>
        <w:t>提供注册、报税等</w:t>
      </w:r>
      <w:r>
        <w:rPr>
          <w:rFonts w:hint="eastAsia" w:ascii="Times New Roman" w:hAnsi="Times New Roman" w:eastAsia="仿宋_GB2312" w:cs="Times New Roman"/>
          <w:sz w:val="32"/>
          <w:szCs w:val="32"/>
          <w:lang w:val="en-US" w:eastAsia="zh-CN"/>
        </w:rPr>
        <w:t>全生命周期</w:t>
      </w:r>
      <w:r>
        <w:rPr>
          <w:rFonts w:hint="default" w:ascii="Times New Roman" w:hAnsi="Times New Roman" w:eastAsia="仿宋_GB2312" w:cs="Times New Roman"/>
          <w:sz w:val="32"/>
          <w:szCs w:val="32"/>
          <w:lang w:val="en-US" w:eastAsia="zh-CN"/>
        </w:rPr>
        <w:t>服务。</w:t>
      </w:r>
      <w:r>
        <w:rPr>
          <w:rFonts w:hint="eastAsia" w:ascii="Times New Roman" w:hAnsi="Times New Roman" w:eastAsia="仿宋_GB2312" w:cs="Times New Roman"/>
          <w:sz w:val="32"/>
          <w:szCs w:val="32"/>
          <w:lang w:val="en-US" w:eastAsia="zh-CN"/>
        </w:rPr>
        <w:t>为</w:t>
      </w:r>
      <w:r>
        <w:rPr>
          <w:rFonts w:hint="default" w:ascii="Times New Roman" w:hAnsi="Times New Roman" w:eastAsia="仿宋_GB2312" w:cs="Times New Roman"/>
          <w:sz w:val="32"/>
          <w:szCs w:val="32"/>
          <w:lang w:val="en-US" w:eastAsia="zh-CN"/>
        </w:rPr>
        <w:t>33家企业申报高新技术奖、健康发展奖等500余万元，融资5425万元</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新引进企业92家，新登记纳税人694家，迁入税务关系59家。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楷体_GB2312" w:cs="Times New Roman"/>
          <w:b/>
          <w:bCs/>
          <w:sz w:val="32"/>
          <w:szCs w:val="32"/>
          <w:lang w:val="en-US" w:eastAsia="zh-CN"/>
        </w:rPr>
      </w:pPr>
      <w:r>
        <w:rPr>
          <w:rFonts w:hint="eastAsia" w:ascii="Times New Roman" w:hAnsi="Times New Roman" w:eastAsia="楷体_GB2312" w:cs="Times New Roman"/>
          <w:b/>
          <w:bCs/>
          <w:sz w:val="32"/>
          <w:szCs w:val="32"/>
          <w:lang w:val="en-US" w:eastAsia="zh-CN"/>
        </w:rPr>
        <w:t>三是</w:t>
      </w:r>
      <w:r>
        <w:rPr>
          <w:rFonts w:hint="default" w:ascii="Times New Roman" w:hAnsi="Times New Roman" w:eastAsia="楷体_GB2312" w:cs="Times New Roman"/>
          <w:b/>
          <w:bCs/>
          <w:sz w:val="32"/>
          <w:szCs w:val="32"/>
          <w:lang w:val="en-US" w:eastAsia="zh-CN"/>
        </w:rPr>
        <w:t>项目建设</w:t>
      </w:r>
      <w:r>
        <w:rPr>
          <w:rFonts w:hint="eastAsia" w:ascii="Times New Roman" w:hAnsi="Times New Roman" w:eastAsia="楷体_GB2312" w:cs="Times New Roman"/>
          <w:b/>
          <w:bCs/>
          <w:sz w:val="32"/>
          <w:szCs w:val="32"/>
          <w:lang w:val="en-US" w:eastAsia="zh-CN"/>
        </w:rPr>
        <w:t>有力有序</w:t>
      </w:r>
      <w:r>
        <w:rPr>
          <w:rFonts w:hint="default" w:ascii="Times New Roman" w:hAnsi="Times New Roman" w:eastAsia="楷体_GB2312" w:cs="Times New Roman"/>
          <w:b/>
          <w:bCs/>
          <w:sz w:val="32"/>
          <w:szCs w:val="32"/>
          <w:lang w:val="en-US" w:eastAsia="zh-CN"/>
        </w:rPr>
        <w:t>。</w:t>
      </w:r>
      <w:r>
        <w:rPr>
          <w:rFonts w:hint="eastAsia" w:ascii="Times New Roman" w:hAnsi="Times New Roman" w:eastAsia="仿宋_GB2312" w:cs="Times New Roman"/>
          <w:sz w:val="32"/>
          <w:szCs w:val="32"/>
          <w:lang w:val="en-US" w:eastAsia="zh-CN"/>
        </w:rPr>
        <w:t>社会投资项目</w:t>
      </w:r>
      <w:r>
        <w:rPr>
          <w:rFonts w:hint="default" w:ascii="Times New Roman" w:hAnsi="Times New Roman" w:eastAsia="仿宋_GB2312" w:cs="Times New Roman"/>
          <w:sz w:val="32"/>
          <w:szCs w:val="32"/>
          <w:lang w:val="en-US" w:eastAsia="zh-CN"/>
        </w:rPr>
        <w:t>新力紫园5</w:t>
      </w:r>
      <w:r>
        <w:rPr>
          <w:rFonts w:hint="default" w:ascii="Times New Roman" w:hAnsi="Times New Roman" w:eastAsia="仿宋_GB2312" w:cs="Times New Roman"/>
          <w:sz w:val="32"/>
          <w:szCs w:val="32"/>
        </w:rPr>
        <w:t>栋</w:t>
      </w:r>
      <w:r>
        <w:rPr>
          <w:rFonts w:hint="default" w:ascii="Times New Roman" w:hAnsi="Times New Roman" w:eastAsia="仿宋_GB2312" w:cs="Times New Roman"/>
          <w:sz w:val="32"/>
          <w:szCs w:val="32"/>
          <w:lang w:eastAsia="zh-CN"/>
        </w:rPr>
        <w:t>房屋</w:t>
      </w:r>
      <w:r>
        <w:rPr>
          <w:rFonts w:hint="default" w:ascii="Times New Roman" w:hAnsi="Times New Roman" w:eastAsia="仿宋_GB2312" w:cs="Times New Roman"/>
          <w:sz w:val="32"/>
          <w:szCs w:val="32"/>
        </w:rPr>
        <w:t>主体封顶完工</w:t>
      </w:r>
      <w:r>
        <w:rPr>
          <w:rFonts w:hint="default" w:ascii="Times New Roman" w:hAnsi="Times New Roman" w:eastAsia="仿宋_GB2312" w:cs="Times New Roman"/>
          <w:sz w:val="32"/>
          <w:szCs w:val="32"/>
          <w:lang w:val="en-US" w:eastAsia="zh-CN"/>
        </w:rPr>
        <w:t>，威斯汀酒店完成装修设计和样板房</w:t>
      </w:r>
      <w:r>
        <w:rPr>
          <w:rFonts w:hint="eastAsia" w:ascii="Times New Roman" w:hAnsi="Times New Roman" w:eastAsia="仿宋_GB2312" w:cs="Times New Roman"/>
          <w:sz w:val="32"/>
          <w:szCs w:val="32"/>
          <w:lang w:val="en-US" w:eastAsia="zh-CN"/>
        </w:rPr>
        <w:t>搭建</w:t>
      </w:r>
      <w:r>
        <w:rPr>
          <w:rFonts w:hint="default" w:ascii="Times New Roman" w:hAnsi="Times New Roman" w:eastAsia="仿宋_GB2312" w:cs="Times New Roman"/>
          <w:sz w:val="32"/>
          <w:szCs w:val="32"/>
          <w:lang w:val="en-US" w:eastAsia="zh-CN"/>
        </w:rPr>
        <w:t>，珠江四方公馆完成报建审批，正在预售</w:t>
      </w:r>
      <w:r>
        <w:rPr>
          <w:rFonts w:hint="default" w:ascii="Times New Roman" w:hAnsi="Times New Roman" w:eastAsia="仿宋_GB2312" w:cs="Times New Roman"/>
          <w:sz w:val="32"/>
          <w:szCs w:val="32"/>
        </w:rPr>
        <w:t>。政府投资项目</w:t>
      </w:r>
      <w:r>
        <w:rPr>
          <w:rFonts w:hint="default" w:ascii="Times New Roman" w:hAnsi="Times New Roman" w:eastAsia="仿宋_GB2312" w:cs="Times New Roman"/>
          <w:sz w:val="32"/>
          <w:szCs w:val="32"/>
          <w:lang w:val="en-US" w:eastAsia="zh-CN"/>
        </w:rPr>
        <w:t>航天一院、佳园路已完工</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陡岭支路正在</w:t>
      </w:r>
      <w:r>
        <w:rPr>
          <w:rFonts w:hint="eastAsia" w:ascii="Times New Roman" w:hAnsi="Times New Roman" w:eastAsia="仿宋_GB2312" w:cs="Times New Roman"/>
          <w:sz w:val="32"/>
          <w:szCs w:val="32"/>
          <w:lang w:val="en-US" w:eastAsia="zh-CN"/>
        </w:rPr>
        <w:t>有序</w:t>
      </w:r>
      <w:r>
        <w:rPr>
          <w:rFonts w:hint="default" w:ascii="Times New Roman" w:hAnsi="Times New Roman" w:eastAsia="仿宋_GB2312" w:cs="Times New Roman"/>
          <w:sz w:val="32"/>
          <w:szCs w:val="32"/>
          <w:lang w:val="en-US" w:eastAsia="zh-CN"/>
        </w:rPr>
        <w:t>施工。</w:t>
      </w:r>
      <w:r>
        <w:rPr>
          <w:rFonts w:hint="eastAsia" w:ascii="Times New Roman" w:hAnsi="Times New Roman" w:eastAsia="仿宋_GB2312" w:cs="Times New Roman"/>
          <w:sz w:val="32"/>
          <w:szCs w:val="32"/>
          <w:lang w:val="en-US" w:eastAsia="zh-CN"/>
        </w:rPr>
        <w:t>重点打造凯乐微谷</w:t>
      </w:r>
      <w:r>
        <w:rPr>
          <w:rFonts w:hint="default" w:ascii="Times New Roman" w:hAnsi="Times New Roman" w:eastAsia="仿宋_GB2312" w:cs="Times New Roman"/>
          <w:sz w:val="32"/>
          <w:szCs w:val="32"/>
          <w:lang w:val="en-US" w:eastAsia="zh-CN"/>
        </w:rPr>
        <w:t>“开福软件产业园”，</w:t>
      </w:r>
      <w:r>
        <w:rPr>
          <w:rFonts w:hint="eastAsia" w:ascii="Times New Roman" w:hAnsi="Times New Roman" w:eastAsia="仿宋_GB2312" w:cs="Times New Roman"/>
          <w:sz w:val="32"/>
          <w:szCs w:val="32"/>
          <w:lang w:val="en-US" w:eastAsia="zh-CN"/>
        </w:rPr>
        <w:t>已</w:t>
      </w:r>
      <w:r>
        <w:rPr>
          <w:rFonts w:hint="default" w:ascii="Times New Roman" w:hAnsi="Times New Roman" w:eastAsia="仿宋_GB2312" w:cs="Times New Roman"/>
          <w:sz w:val="32"/>
          <w:szCs w:val="32"/>
          <w:lang w:eastAsia="zh-CN"/>
        </w:rPr>
        <w:t>引进软件与信息服务业企业</w:t>
      </w:r>
      <w:r>
        <w:rPr>
          <w:rFonts w:hint="eastAsia" w:ascii="Times New Roman" w:hAnsi="Times New Roman" w:eastAsia="仿宋_GB2312" w:cs="Times New Roman"/>
          <w:sz w:val="32"/>
          <w:szCs w:val="32"/>
          <w:lang w:val="en-US" w:eastAsia="zh-CN"/>
        </w:rPr>
        <w:t>28</w:t>
      </w:r>
      <w:r>
        <w:rPr>
          <w:rFonts w:hint="default" w:ascii="Times New Roman" w:hAnsi="Times New Roman" w:eastAsia="仿宋_GB2312" w:cs="Times New Roman"/>
          <w:sz w:val="32"/>
          <w:szCs w:val="32"/>
          <w:lang w:val="en-US" w:eastAsia="zh-CN"/>
        </w:rPr>
        <w:t>家，</w:t>
      </w:r>
      <w:r>
        <w:rPr>
          <w:rFonts w:hint="eastAsia" w:ascii="Times New Roman" w:hAnsi="Times New Roman" w:eastAsia="仿宋_GB2312" w:cs="Times New Roman"/>
          <w:sz w:val="32"/>
          <w:szCs w:val="32"/>
          <w:lang w:val="en-US" w:eastAsia="zh-CN"/>
        </w:rPr>
        <w:t>预计</w:t>
      </w:r>
      <w:r>
        <w:rPr>
          <w:rFonts w:hint="default" w:ascii="Times New Roman" w:hAnsi="Times New Roman" w:eastAsia="仿宋_GB2312" w:cs="Times New Roman"/>
          <w:sz w:val="32"/>
          <w:szCs w:val="32"/>
          <w:lang w:val="en-US" w:eastAsia="zh-CN"/>
        </w:rPr>
        <w:t>产生</w:t>
      </w:r>
      <w:r>
        <w:rPr>
          <w:rFonts w:hint="default" w:ascii="Times New Roman" w:hAnsi="Times New Roman" w:eastAsia="仿宋_GB2312" w:cs="Times New Roman"/>
          <w:sz w:val="32"/>
          <w:szCs w:val="32"/>
        </w:rPr>
        <w:t>税收</w:t>
      </w:r>
      <w:r>
        <w:rPr>
          <w:rFonts w:hint="eastAsia" w:ascii="Times New Roman" w:hAnsi="Times New Roman" w:eastAsia="仿宋_GB2312" w:cs="Times New Roman"/>
          <w:sz w:val="32"/>
          <w:szCs w:val="32"/>
          <w:lang w:val="en-US" w:eastAsia="zh-CN"/>
        </w:rPr>
        <w:t>3000万</w:t>
      </w:r>
      <w:r>
        <w:rPr>
          <w:rFonts w:hint="default" w:ascii="Times New Roman" w:hAnsi="Times New Roman" w:eastAsia="仿宋_GB2312" w:cs="Times New Roman"/>
          <w:sz w:val="32"/>
          <w:szCs w:val="32"/>
        </w:rPr>
        <w:t>元</w:t>
      </w:r>
      <w:r>
        <w:rPr>
          <w:rFonts w:hint="default" w:ascii="Times New Roman" w:hAnsi="Times New Roman" w:eastAsia="仿宋_GB2312" w:cs="Times New Roman"/>
          <w:sz w:val="32"/>
          <w:szCs w:val="32"/>
          <w:lang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00" w:firstLineChars="200"/>
        <w:jc w:val="left"/>
        <w:textAlignment w:val="auto"/>
        <w:rPr>
          <w:rStyle w:val="8"/>
          <w:rFonts w:hint="eastAsia" w:ascii="黑体" w:hAnsi="黑体" w:eastAsia="黑体" w:cs="黑体"/>
          <w:b w:val="0"/>
          <w:bCs/>
          <w:i w:val="0"/>
          <w:caps w:val="0"/>
          <w:color w:val="030303"/>
          <w:spacing w:val="0"/>
          <w:sz w:val="30"/>
          <w:szCs w:val="30"/>
          <w:shd w:val="clear" w:fill="FFFFFF"/>
          <w:lang w:val="en-US" w:eastAsia="zh-CN"/>
        </w:rPr>
      </w:pPr>
      <w:r>
        <w:rPr>
          <w:rStyle w:val="8"/>
          <w:rFonts w:hint="eastAsia" w:ascii="黑体" w:hAnsi="黑体" w:eastAsia="黑体" w:cs="黑体"/>
          <w:b w:val="0"/>
          <w:bCs/>
          <w:i w:val="0"/>
          <w:caps w:val="0"/>
          <w:color w:val="030303"/>
          <w:spacing w:val="0"/>
          <w:sz w:val="30"/>
          <w:szCs w:val="30"/>
          <w:shd w:val="clear" w:fill="FFFFFF"/>
          <w:lang w:val="en-US" w:eastAsia="zh-CN"/>
        </w:rPr>
        <w:t>2、环境品质提档升级</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ind w:right="0" w:rightChars="0" w:firstLine="643" w:firstLineChars="200"/>
        <w:jc w:val="left"/>
        <w:textAlignment w:val="auto"/>
        <w:outlineLvl w:val="9"/>
        <w:rPr>
          <w:rStyle w:val="8"/>
          <w:rFonts w:hint="default" w:ascii="Times New Roman" w:hAnsi="Times New Roman" w:eastAsia="楷体_GB2312" w:cs="Times New Roman"/>
          <w:i w:val="0"/>
          <w:caps w:val="0"/>
          <w:color w:val="030303"/>
          <w:spacing w:val="0"/>
          <w:sz w:val="32"/>
          <w:szCs w:val="32"/>
          <w:shd w:val="clear" w:fill="FFFFFF"/>
          <w:lang w:val="en-US" w:eastAsia="zh-CN"/>
        </w:rPr>
      </w:pPr>
      <w:r>
        <w:rPr>
          <w:rFonts w:hint="eastAsia" w:ascii="楷体_GB2312" w:hAnsi="楷体_GB2312" w:eastAsia="楷体_GB2312" w:cs="楷体_GB2312"/>
          <w:b/>
          <w:bCs/>
          <w:sz w:val="32"/>
          <w:szCs w:val="32"/>
          <w:lang w:val="en-US" w:eastAsia="zh-CN"/>
        </w:rPr>
        <w:t>一是生态环境更加优美</w:t>
      </w:r>
      <w:r>
        <w:rPr>
          <w:rFonts w:hint="default" w:ascii="楷体_GB2312" w:hAnsi="楷体_GB2312" w:eastAsia="楷体_GB2312" w:cs="楷体_GB2312"/>
          <w:b/>
          <w:bCs/>
          <w:sz w:val="32"/>
          <w:szCs w:val="32"/>
          <w:lang w:val="en-US" w:eastAsia="zh-CN"/>
        </w:rPr>
        <w:t>。</w:t>
      </w:r>
      <w:r>
        <w:rPr>
          <w:rFonts w:hint="default" w:ascii="Times New Roman" w:hAnsi="Times New Roman" w:eastAsia="仿宋_GB2312" w:cs="Times New Roman"/>
          <w:b w:val="0"/>
          <w:bCs w:val="0"/>
          <w:color w:val="auto"/>
          <w:sz w:val="32"/>
          <w:szCs w:val="32"/>
          <w:lang w:val="en-US" w:eastAsia="zh-CN"/>
        </w:rPr>
        <w:t>坚决</w:t>
      </w:r>
      <w:r>
        <w:rPr>
          <w:rFonts w:hint="default" w:ascii="Times New Roman" w:hAnsi="Times New Roman" w:eastAsia="仿宋_GB2312" w:cs="Times New Roman"/>
          <w:color w:val="auto"/>
          <w:sz w:val="32"/>
          <w:szCs w:val="32"/>
          <w:lang w:val="en-US" w:eastAsia="zh-CN"/>
        </w:rPr>
        <w:t>打好蓝天、碧水、净土保卫战，</w:t>
      </w:r>
      <w:r>
        <w:rPr>
          <w:rFonts w:hint="default" w:ascii="Times New Roman" w:hAnsi="Times New Roman" w:eastAsia="仿宋_GB2312" w:cs="Times New Roman"/>
          <w:sz w:val="32"/>
          <w:szCs w:val="32"/>
          <w:lang w:eastAsia="zh-CN"/>
        </w:rPr>
        <w:t>全年</w:t>
      </w:r>
      <w:r>
        <w:rPr>
          <w:rFonts w:hint="default" w:ascii="Times New Roman" w:hAnsi="Times New Roman" w:eastAsia="仿宋_GB2312" w:cs="Times New Roman"/>
          <w:sz w:val="32"/>
          <w:szCs w:val="32"/>
        </w:rPr>
        <w:t>开展</w:t>
      </w:r>
      <w:r>
        <w:rPr>
          <w:rFonts w:hint="default" w:ascii="Times New Roman" w:hAnsi="Times New Roman" w:eastAsia="仿宋_GB2312" w:cs="Times New Roman"/>
          <w:sz w:val="32"/>
          <w:szCs w:val="32"/>
          <w:lang w:eastAsia="zh-CN"/>
        </w:rPr>
        <w:t>环保</w:t>
      </w:r>
      <w:r>
        <w:rPr>
          <w:rFonts w:hint="default" w:ascii="Times New Roman" w:hAnsi="Times New Roman" w:eastAsia="仿宋_GB2312" w:cs="Times New Roman"/>
          <w:sz w:val="32"/>
          <w:szCs w:val="32"/>
        </w:rPr>
        <w:t>专项执法行动</w:t>
      </w:r>
      <w:r>
        <w:rPr>
          <w:rFonts w:hint="default" w:ascii="Times New Roman" w:hAnsi="Times New Roman" w:eastAsia="仿宋_GB2312" w:cs="Times New Roman"/>
          <w:sz w:val="32"/>
          <w:szCs w:val="32"/>
          <w:lang w:val="en-US" w:eastAsia="zh-CN"/>
        </w:rPr>
        <w:t>325</w:t>
      </w:r>
      <w:r>
        <w:rPr>
          <w:rFonts w:hint="default" w:ascii="Times New Roman" w:hAnsi="Times New Roman" w:eastAsia="仿宋_GB2312" w:cs="Times New Roman"/>
          <w:sz w:val="32"/>
          <w:szCs w:val="32"/>
        </w:rPr>
        <w:t>次，</w:t>
      </w:r>
      <w:r>
        <w:rPr>
          <w:rFonts w:hint="default" w:ascii="Times New Roman" w:hAnsi="Times New Roman" w:eastAsia="仿宋_GB2312" w:cs="Times New Roman"/>
          <w:color w:val="000000"/>
          <w:sz w:val="32"/>
          <w:szCs w:val="32"/>
          <w:lang w:eastAsia="zh-CN"/>
        </w:rPr>
        <w:t>巡河</w:t>
      </w:r>
      <w:r>
        <w:rPr>
          <w:rFonts w:hint="default" w:ascii="Times New Roman" w:hAnsi="Times New Roman" w:eastAsia="仿宋_GB2312" w:cs="Times New Roman"/>
          <w:color w:val="000000"/>
          <w:sz w:val="32"/>
          <w:szCs w:val="32"/>
          <w:lang w:val="en-US" w:eastAsia="zh-CN"/>
        </w:rPr>
        <w:t>174次，</w:t>
      </w:r>
      <w:r>
        <w:rPr>
          <w:rFonts w:hint="default" w:ascii="Times New Roman" w:hAnsi="Times New Roman" w:eastAsia="仿宋_GB2312" w:cs="Times New Roman"/>
          <w:kern w:val="0"/>
          <w:sz w:val="32"/>
          <w:szCs w:val="32"/>
        </w:rPr>
        <w:t>劝离流动摊贩900余个，劝停违规店外经营400余处</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覆盖环保网2万平方米，</w:t>
      </w:r>
      <w:r>
        <w:rPr>
          <w:rFonts w:hint="default" w:ascii="Times New Roman" w:hAnsi="Times New Roman" w:eastAsia="仿宋_GB2312" w:cs="Times New Roman"/>
          <w:color w:val="000000"/>
          <w:sz w:val="32"/>
          <w:szCs w:val="32"/>
        </w:rPr>
        <w:t>餐饮门店油烟净化器安装率100%</w:t>
      </w:r>
      <w:r>
        <w:rPr>
          <w:rFonts w:hint="default" w:ascii="Times New Roman" w:hAnsi="Times New Roman" w:eastAsia="仿宋_GB2312" w:cs="Times New Roman"/>
          <w:color w:val="000000"/>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ind w:right="0" w:rightChars="0" w:firstLine="643" w:firstLineChars="200"/>
        <w:jc w:val="left"/>
        <w:textAlignment w:val="auto"/>
        <w:outlineLvl w:val="9"/>
        <w:rPr>
          <w:rFonts w:hint="default" w:ascii="Times New Roman" w:hAnsi="Times New Roman" w:eastAsia="仿宋_GB2312" w:cs="Times New Roman"/>
          <w:sz w:val="32"/>
          <w:szCs w:val="32"/>
          <w:lang w:val="en-US" w:eastAsia="zh-CN"/>
        </w:rPr>
      </w:pPr>
      <w:r>
        <w:rPr>
          <w:rFonts w:hint="eastAsia" w:ascii="楷体_GB2312" w:hAnsi="楷体_GB2312" w:eastAsia="楷体_GB2312" w:cs="楷体_GB2312"/>
          <w:b/>
          <w:bCs/>
          <w:sz w:val="32"/>
          <w:szCs w:val="32"/>
          <w:lang w:val="en-US" w:eastAsia="zh-CN"/>
        </w:rPr>
        <w:t>二是</w:t>
      </w:r>
      <w:r>
        <w:rPr>
          <w:rFonts w:hint="default" w:ascii="楷体_GB2312" w:hAnsi="楷体_GB2312" w:eastAsia="楷体_GB2312" w:cs="楷体_GB2312"/>
          <w:b/>
          <w:bCs/>
          <w:sz w:val="32"/>
          <w:szCs w:val="32"/>
          <w:lang w:val="en-US" w:eastAsia="zh-CN"/>
        </w:rPr>
        <w:t>城市管理</w:t>
      </w:r>
      <w:r>
        <w:rPr>
          <w:rFonts w:hint="eastAsia" w:ascii="楷体_GB2312" w:hAnsi="楷体_GB2312" w:eastAsia="楷体_GB2312" w:cs="楷体_GB2312"/>
          <w:b/>
          <w:bCs/>
          <w:sz w:val="32"/>
          <w:szCs w:val="32"/>
          <w:lang w:val="en-US" w:eastAsia="zh-CN"/>
        </w:rPr>
        <w:t>更加精细</w:t>
      </w:r>
      <w:r>
        <w:rPr>
          <w:rFonts w:hint="default" w:ascii="楷体_GB2312" w:hAnsi="楷体_GB2312" w:eastAsia="楷体_GB2312" w:cs="楷体_GB2312"/>
          <w:b/>
          <w:bCs/>
          <w:sz w:val="32"/>
          <w:szCs w:val="32"/>
          <w:lang w:val="en-US" w:eastAsia="zh-CN"/>
        </w:rPr>
        <w:t>。</w:t>
      </w:r>
      <w:r>
        <w:rPr>
          <w:rFonts w:hint="default" w:ascii="Times New Roman" w:hAnsi="Times New Roman" w:eastAsia="仿宋_GB2312" w:cs="Times New Roman"/>
          <w:sz w:val="32"/>
          <w:szCs w:val="32"/>
          <w:lang w:val="en-US" w:eastAsia="zh-CN"/>
        </w:rPr>
        <w:t>全面提升街区净化、序化、绿化、亮化、美化水平，开展集中整治行动97次，教育违章行为6840起。深入推进垃圾分类工作，17个收集点收运厨余垃圾325</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吨。</w:t>
      </w:r>
      <w:r>
        <w:rPr>
          <w:rFonts w:hint="eastAsia" w:ascii="Times New Roman" w:hAnsi="Times New Roman" w:eastAsia="仿宋_GB2312" w:cs="Times New Roman"/>
          <w:sz w:val="32"/>
          <w:szCs w:val="32"/>
          <w:lang w:val="en-US" w:eastAsia="zh-CN"/>
        </w:rPr>
        <w:t>蒋家垅农贸市场获评“长沙市2020年第二季度最佳农贸市场”。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仿宋_GB2312" w:cs="Times New Roman"/>
          <w:sz w:val="32"/>
          <w:szCs w:val="32"/>
          <w:lang w:val="en-US" w:eastAsia="zh-CN"/>
        </w:rPr>
      </w:pPr>
      <w:r>
        <w:rPr>
          <w:rFonts w:hint="eastAsia" w:ascii="楷体_GB2312" w:hAnsi="楷体_GB2312" w:eastAsia="楷体_GB2312" w:cs="楷体_GB2312"/>
          <w:b/>
          <w:bCs/>
          <w:kern w:val="2"/>
          <w:sz w:val="32"/>
          <w:szCs w:val="32"/>
          <w:lang w:val="en-US" w:eastAsia="zh-CN" w:bidi="ar-SA"/>
        </w:rPr>
        <w:t>三是</w:t>
      </w:r>
      <w:r>
        <w:rPr>
          <w:rFonts w:hint="default" w:ascii="楷体_GB2312" w:hAnsi="楷体_GB2312" w:eastAsia="楷体_GB2312" w:cs="楷体_GB2312"/>
          <w:b/>
          <w:bCs/>
          <w:kern w:val="2"/>
          <w:sz w:val="32"/>
          <w:szCs w:val="32"/>
          <w:lang w:val="en-US" w:eastAsia="zh-CN" w:bidi="ar-SA"/>
        </w:rPr>
        <w:t>文明</w:t>
      </w:r>
      <w:r>
        <w:rPr>
          <w:rFonts w:hint="eastAsia" w:ascii="楷体_GB2312" w:hAnsi="楷体_GB2312" w:eastAsia="楷体_GB2312" w:cs="楷体_GB2312"/>
          <w:b/>
          <w:bCs/>
          <w:kern w:val="2"/>
          <w:sz w:val="32"/>
          <w:szCs w:val="32"/>
          <w:lang w:val="en-US" w:eastAsia="zh-CN" w:bidi="ar-SA"/>
        </w:rPr>
        <w:t>创建更加深化</w:t>
      </w:r>
      <w:r>
        <w:rPr>
          <w:rFonts w:hint="default" w:ascii="楷体_GB2312" w:hAnsi="楷体_GB2312" w:eastAsia="楷体_GB2312" w:cs="楷体_GB2312"/>
          <w:b/>
          <w:bCs/>
          <w:kern w:val="2"/>
          <w:sz w:val="32"/>
          <w:szCs w:val="32"/>
          <w:lang w:val="en-US" w:eastAsia="zh-CN" w:bidi="ar-SA"/>
        </w:rPr>
        <w:t>。</w:t>
      </w:r>
      <w:r>
        <w:rPr>
          <w:rFonts w:hint="default" w:ascii="Times New Roman" w:hAnsi="Times New Roman" w:eastAsia="仿宋_GB2312" w:cs="Times New Roman"/>
          <w:sz w:val="32"/>
          <w:szCs w:val="32"/>
          <w:lang w:eastAsia="zh-CN"/>
        </w:rPr>
        <w:t>以</w:t>
      </w:r>
      <w:r>
        <w:rPr>
          <w:rFonts w:hint="default" w:ascii="Times New Roman" w:hAnsi="Times New Roman" w:eastAsia="仿宋_GB2312" w:cs="Times New Roman"/>
          <w:sz w:val="32"/>
          <w:szCs w:val="32"/>
        </w:rPr>
        <w:t>传统节日</w:t>
      </w:r>
      <w:r>
        <w:rPr>
          <w:rFonts w:hint="default" w:ascii="Times New Roman" w:hAnsi="Times New Roman" w:eastAsia="仿宋_GB2312" w:cs="Times New Roman"/>
          <w:sz w:val="32"/>
          <w:szCs w:val="32"/>
          <w:lang w:val="en-US" w:eastAsia="zh-CN"/>
        </w:rPr>
        <w:t>为契机，</w:t>
      </w:r>
      <w:r>
        <w:rPr>
          <w:rFonts w:hint="default" w:ascii="Times New Roman" w:hAnsi="Times New Roman" w:eastAsia="仿宋_GB2312" w:cs="Times New Roman"/>
          <w:sz w:val="32"/>
          <w:szCs w:val="32"/>
        </w:rPr>
        <w:t>开展文明祭祀、排队礼让日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家庭教育讲座等活动</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0余次</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顺利</w:t>
      </w:r>
      <w:r>
        <w:rPr>
          <w:rFonts w:hint="default" w:ascii="Times New Roman" w:hAnsi="Times New Roman" w:eastAsia="仿宋_GB2312" w:cs="Times New Roman"/>
          <w:sz w:val="32"/>
          <w:szCs w:val="32"/>
          <w:lang w:eastAsia="zh-CN"/>
        </w:rPr>
        <w:t>完成文明创建迎国检任务</w:t>
      </w:r>
      <w:r>
        <w:rPr>
          <w:rFonts w:hint="eastAsia" w:ascii="Times New Roman" w:hAnsi="Times New Roman" w:eastAsia="仿宋_GB2312" w:cs="Times New Roman"/>
          <w:sz w:val="32"/>
          <w:szCs w:val="32"/>
          <w:lang w:eastAsia="zh-CN"/>
        </w:rPr>
        <w:t>，科大佳园社区作为开福区唯一代表获评“全国文明单位”，</w:t>
      </w:r>
      <w:r>
        <w:rPr>
          <w:rFonts w:hint="eastAsia" w:ascii="Times New Roman" w:hAnsi="Times New Roman" w:eastAsia="仿宋_GB2312" w:cs="Times New Roman"/>
          <w:sz w:val="32"/>
          <w:szCs w:val="32"/>
          <w:lang w:val="en-US" w:eastAsia="zh-CN"/>
        </w:rPr>
        <w:t>建湘新村社区获评“市级文明社区”。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00" w:firstLineChars="200"/>
        <w:jc w:val="left"/>
        <w:textAlignment w:val="auto"/>
        <w:rPr>
          <w:rStyle w:val="8"/>
          <w:rFonts w:hint="eastAsia" w:ascii="黑体" w:hAnsi="黑体" w:eastAsia="黑体" w:cs="黑体"/>
          <w:b w:val="0"/>
          <w:bCs/>
          <w:i w:val="0"/>
          <w:caps w:val="0"/>
          <w:color w:val="030303"/>
          <w:spacing w:val="0"/>
          <w:sz w:val="30"/>
          <w:szCs w:val="30"/>
          <w:shd w:val="clear" w:fill="FFFFFF"/>
          <w:lang w:val="en-US" w:eastAsia="zh-CN"/>
        </w:rPr>
      </w:pPr>
      <w:r>
        <w:rPr>
          <w:rStyle w:val="8"/>
          <w:rFonts w:hint="eastAsia" w:ascii="黑体" w:hAnsi="黑体" w:eastAsia="黑体" w:cs="黑体"/>
          <w:b w:val="0"/>
          <w:bCs/>
          <w:i w:val="0"/>
          <w:caps w:val="0"/>
          <w:color w:val="030303"/>
          <w:spacing w:val="0"/>
          <w:sz w:val="30"/>
          <w:szCs w:val="30"/>
          <w:shd w:val="clear" w:fill="FFFFFF"/>
          <w:lang w:val="en-US" w:eastAsia="zh-CN"/>
        </w:rPr>
        <w:t>3、基层治理持续向优</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一是</w:t>
      </w:r>
      <w:r>
        <w:rPr>
          <w:rFonts w:hint="default" w:ascii="楷体_GB2312" w:hAnsi="楷体_GB2312" w:eastAsia="楷体_GB2312" w:cs="楷体_GB2312"/>
          <w:b/>
          <w:bCs/>
          <w:kern w:val="2"/>
          <w:sz w:val="32"/>
          <w:szCs w:val="32"/>
          <w:lang w:val="en-US" w:eastAsia="zh-CN" w:bidi="ar-SA"/>
        </w:rPr>
        <w:t>物业管理有效改善。</w:t>
      </w:r>
      <w:r>
        <w:rPr>
          <w:rFonts w:hint="default" w:ascii="Times New Roman" w:hAnsi="Times New Roman" w:eastAsia="仿宋_GB2312" w:cs="Times New Roman"/>
          <w:kern w:val="0"/>
          <w:sz w:val="32"/>
          <w:szCs w:val="32"/>
          <w:lang w:val="en-US" w:eastAsia="zh-CN" w:bidi="ar-SA"/>
        </w:rPr>
        <w:t>坚持“以人民为中心”，妥善处理万煦园业主、物业、业委会三方矛盾</w:t>
      </w:r>
      <w:r>
        <w:rPr>
          <w:rFonts w:hint="eastAsia" w:ascii="Times New Roman" w:hAnsi="Times New Roman" w:eastAsia="仿宋_GB2312" w:cs="Times New Roman"/>
          <w:kern w:val="0"/>
          <w:sz w:val="32"/>
          <w:szCs w:val="32"/>
          <w:lang w:val="en-US" w:eastAsia="zh-CN" w:bidi="ar-SA"/>
        </w:rPr>
        <w:t>，引导</w:t>
      </w:r>
      <w:r>
        <w:rPr>
          <w:rFonts w:hint="default" w:ascii="Times New Roman" w:hAnsi="Times New Roman" w:eastAsia="仿宋_GB2312" w:cs="Times New Roman"/>
          <w:kern w:val="0"/>
          <w:sz w:val="32"/>
          <w:szCs w:val="32"/>
          <w:lang w:val="en-US" w:eastAsia="zh-CN" w:bidi="ar-SA"/>
        </w:rPr>
        <w:t>规范24个小区物业管理。花城社区第一湾小区获评</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0"/>
          <w:sz w:val="32"/>
          <w:szCs w:val="32"/>
          <w:lang w:val="en-US" w:eastAsia="zh-CN" w:bidi="ar-SA"/>
        </w:rPr>
        <w:t>长沙市物业管理达标小区</w:t>
      </w:r>
      <w:r>
        <w:rPr>
          <w:rFonts w:hint="eastAsia"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kern w:val="0"/>
          <w:sz w:val="32"/>
          <w:szCs w:val="32"/>
          <w:lang w:val="en-US" w:eastAsia="zh-CN" w:bidi="ar-SA"/>
        </w:rPr>
        <w:t>，紫荆园社区获</w:t>
      </w:r>
      <w:r>
        <w:rPr>
          <w:rFonts w:hint="eastAsia" w:ascii="Times New Roman" w:hAnsi="Times New Roman" w:eastAsia="仿宋_GB2312" w:cs="Times New Roman"/>
          <w:kern w:val="2"/>
          <w:sz w:val="32"/>
          <w:szCs w:val="32"/>
          <w:lang w:val="en-US" w:eastAsia="zh-CN" w:bidi="ar-SA"/>
        </w:rPr>
        <w:t>评“长沙市开放式物业先进社区”。</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仿宋_GB2312" w:cs="Times New Roman"/>
          <w:b w:val="0"/>
          <w:color w:val="auto"/>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二是民生服务巩固升温。</w:t>
      </w:r>
      <w:r>
        <w:rPr>
          <w:rFonts w:hint="default" w:ascii="Times New Roman" w:hAnsi="Times New Roman" w:eastAsia="仿宋_GB2312" w:cs="Times New Roman"/>
          <w:sz w:val="32"/>
          <w:szCs w:val="32"/>
          <w:shd w:val="clear" w:color="auto" w:fill="FFFFFF"/>
        </w:rPr>
        <w:t>认真</w:t>
      </w:r>
      <w:r>
        <w:rPr>
          <w:rFonts w:hint="default" w:ascii="Times New Roman" w:hAnsi="Times New Roman" w:eastAsia="仿宋_GB2312" w:cs="Times New Roman"/>
          <w:sz w:val="32"/>
          <w:szCs w:val="32"/>
          <w:shd w:val="clear" w:color="auto" w:fill="FFFFFF"/>
          <w:lang w:eastAsia="zh-CN"/>
        </w:rPr>
        <w:t>落实</w:t>
      </w:r>
      <w:r>
        <w:rPr>
          <w:rFonts w:hint="default" w:ascii="Times New Roman" w:hAnsi="Times New Roman" w:eastAsia="仿宋_GB2312" w:cs="Times New Roman"/>
          <w:b w:val="0"/>
          <w:color w:val="auto"/>
          <w:kern w:val="2"/>
          <w:sz w:val="32"/>
          <w:szCs w:val="32"/>
          <w:lang w:val="en-US" w:eastAsia="zh-CN" w:bidi="ar-SA"/>
        </w:rPr>
        <w:t>“城市特殊困难群体帮扶”</w:t>
      </w:r>
      <w:r>
        <w:rPr>
          <w:rFonts w:hint="eastAsia" w:ascii="Times New Roman" w:hAnsi="Times New Roman" w:eastAsia="仿宋_GB2312" w:cs="Times New Roman"/>
          <w:b w:val="0"/>
          <w:color w:val="auto"/>
          <w:kern w:val="2"/>
          <w:sz w:val="32"/>
          <w:szCs w:val="32"/>
          <w:lang w:val="en-US" w:eastAsia="zh-CN" w:bidi="ar-SA"/>
        </w:rPr>
        <w:t>、“三车三场”、老旧小区加装电梯等民生实事，</w:t>
      </w:r>
      <w:r>
        <w:rPr>
          <w:rFonts w:hint="default" w:ascii="Times New Roman" w:hAnsi="Times New Roman" w:eastAsia="仿宋_GB2312" w:cs="Times New Roman"/>
          <w:color w:val="auto"/>
          <w:kern w:val="2"/>
          <w:sz w:val="32"/>
          <w:szCs w:val="32"/>
          <w:lang w:val="en-US" w:eastAsia="zh-CN" w:bidi="ar-SA"/>
        </w:rPr>
        <w:t>以双拥路</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双拥街及其周边为重点</w:t>
      </w:r>
      <w:r>
        <w:rPr>
          <w:rFonts w:hint="eastAsia" w:ascii="Times New Roman" w:hAnsi="Times New Roman" w:eastAsia="仿宋_GB2312" w:cs="Times New Roman"/>
          <w:color w:val="auto"/>
          <w:kern w:val="2"/>
          <w:sz w:val="32"/>
          <w:szCs w:val="32"/>
          <w:lang w:val="en-US" w:eastAsia="zh-CN" w:bidi="ar-SA"/>
        </w:rPr>
        <w:t>的</w:t>
      </w:r>
      <w:r>
        <w:rPr>
          <w:rFonts w:hint="default" w:ascii="Times New Roman" w:hAnsi="Times New Roman" w:eastAsia="仿宋_GB2312" w:cs="Times New Roman"/>
          <w:color w:val="auto"/>
          <w:kern w:val="2"/>
          <w:sz w:val="32"/>
          <w:szCs w:val="32"/>
          <w:lang w:val="en-US" w:eastAsia="zh-CN" w:bidi="ar-SA"/>
        </w:rPr>
        <w:t>“</w:t>
      </w:r>
      <w:r>
        <w:rPr>
          <w:rFonts w:hint="eastAsia" w:ascii="Times New Roman" w:hAnsi="Times New Roman" w:eastAsia="仿宋_GB2312" w:cs="Times New Roman"/>
          <w:color w:val="auto"/>
          <w:kern w:val="2"/>
          <w:sz w:val="32"/>
          <w:szCs w:val="32"/>
          <w:lang w:val="en-US" w:eastAsia="zh-CN" w:bidi="ar-SA"/>
        </w:rPr>
        <w:t>15分钟生活圈</w:t>
      </w:r>
      <w:r>
        <w:rPr>
          <w:rFonts w:hint="default" w:ascii="Times New Roman" w:hAnsi="Times New Roman" w:eastAsia="仿宋_GB2312" w:cs="Times New Roman"/>
          <w:color w:val="auto"/>
          <w:kern w:val="2"/>
          <w:sz w:val="32"/>
          <w:szCs w:val="32"/>
          <w:lang w:val="en-US" w:eastAsia="zh-CN" w:bidi="ar-SA"/>
        </w:rPr>
        <w:t>”</w:t>
      </w:r>
      <w:r>
        <w:rPr>
          <w:rFonts w:hint="eastAsia" w:ascii="Times New Roman" w:hAnsi="Times New Roman" w:eastAsia="仿宋_GB2312" w:cs="Times New Roman"/>
          <w:color w:val="auto"/>
          <w:kern w:val="2"/>
          <w:sz w:val="32"/>
          <w:szCs w:val="32"/>
          <w:lang w:val="en-US" w:eastAsia="zh-CN" w:bidi="ar-SA"/>
        </w:rPr>
        <w:t>逐步完善。</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kern w:val="0"/>
          <w:sz w:val="32"/>
          <w:szCs w:val="32"/>
          <w:lang w:val="en-US" w:eastAsia="zh-CN" w:bidi="ar-SA"/>
        </w:rPr>
      </w:pPr>
      <w:r>
        <w:rPr>
          <w:rFonts w:hint="eastAsia" w:ascii="楷体_GB2312" w:hAnsi="楷体_GB2312" w:eastAsia="楷体_GB2312" w:cs="楷体_GB2312"/>
          <w:b/>
          <w:bCs/>
          <w:kern w:val="2"/>
          <w:sz w:val="32"/>
          <w:szCs w:val="32"/>
          <w:lang w:val="en-US" w:eastAsia="zh-CN" w:bidi="ar-SA"/>
        </w:rPr>
        <w:t>三是</w:t>
      </w:r>
      <w:r>
        <w:rPr>
          <w:rFonts w:hint="default" w:ascii="楷体_GB2312" w:hAnsi="楷体_GB2312" w:eastAsia="楷体_GB2312" w:cs="楷体_GB2312"/>
          <w:b/>
          <w:bCs/>
          <w:kern w:val="2"/>
          <w:sz w:val="32"/>
          <w:szCs w:val="32"/>
          <w:lang w:val="en-US" w:eastAsia="zh-CN" w:bidi="ar-SA"/>
        </w:rPr>
        <w:t>社会大局和谐稳定。</w:t>
      </w:r>
      <w:r>
        <w:rPr>
          <w:rFonts w:hint="eastAsia" w:ascii="Times New Roman" w:hAnsi="Times New Roman" w:eastAsia="仿宋_GB2312" w:cs="Times New Roman"/>
          <w:kern w:val="0"/>
          <w:sz w:val="32"/>
          <w:szCs w:val="32"/>
          <w:lang w:val="en-US" w:eastAsia="zh-CN" w:bidi="ar-SA"/>
        </w:rPr>
        <w:t>持续</w:t>
      </w:r>
      <w:r>
        <w:rPr>
          <w:rFonts w:hint="default" w:ascii="Times New Roman" w:hAnsi="Times New Roman" w:eastAsia="仿宋_GB2312" w:cs="Times New Roman"/>
          <w:kern w:val="0"/>
          <w:sz w:val="32"/>
          <w:szCs w:val="32"/>
          <w:lang w:val="en-US" w:eastAsia="zh-CN" w:bidi="ar-SA"/>
        </w:rPr>
        <w:t>抓好</w:t>
      </w:r>
      <w:r>
        <w:rPr>
          <w:rFonts w:hint="eastAsia" w:ascii="Times New Roman" w:hAnsi="Times New Roman" w:eastAsia="仿宋_GB2312" w:cs="Times New Roman"/>
          <w:kern w:val="0"/>
          <w:sz w:val="32"/>
          <w:szCs w:val="32"/>
          <w:lang w:val="en-US" w:eastAsia="zh-CN" w:bidi="ar-SA"/>
        </w:rPr>
        <w:t>疫情防控、安全生产、扫</w:t>
      </w:r>
      <w:r>
        <w:rPr>
          <w:rFonts w:hint="default" w:ascii="Times New Roman" w:hAnsi="Times New Roman" w:eastAsia="仿宋_GB2312" w:cs="Times New Roman"/>
          <w:kern w:val="0"/>
          <w:sz w:val="32"/>
          <w:szCs w:val="32"/>
          <w:lang w:val="en-US" w:eastAsia="zh-CN" w:bidi="ar-SA"/>
        </w:rPr>
        <w:t>黑除恶、食安创建、</w:t>
      </w:r>
      <w:r>
        <w:rPr>
          <w:rFonts w:hint="eastAsia" w:ascii="Times New Roman" w:hAnsi="Times New Roman" w:eastAsia="仿宋_GB2312" w:cs="Times New Roman"/>
          <w:kern w:val="0"/>
          <w:sz w:val="32"/>
          <w:szCs w:val="32"/>
          <w:lang w:val="en-US" w:eastAsia="zh-CN" w:bidi="ar-SA"/>
        </w:rPr>
        <w:t>退役军人、</w:t>
      </w:r>
      <w:r>
        <w:rPr>
          <w:rFonts w:hint="default" w:ascii="Times New Roman" w:hAnsi="Times New Roman" w:eastAsia="仿宋_GB2312" w:cs="Times New Roman"/>
          <w:kern w:val="0"/>
          <w:sz w:val="32"/>
          <w:szCs w:val="32"/>
          <w:lang w:val="en-US" w:eastAsia="zh-CN" w:bidi="ar-SA"/>
        </w:rPr>
        <w:t>禁毒等工作，实现</w:t>
      </w:r>
      <w:r>
        <w:rPr>
          <w:rFonts w:hint="eastAsia" w:ascii="Times New Roman" w:hAnsi="Times New Roman" w:eastAsia="仿宋_GB2312" w:cs="Times New Roman"/>
          <w:kern w:val="0"/>
          <w:sz w:val="32"/>
          <w:szCs w:val="32"/>
          <w:lang w:val="en-US" w:eastAsia="zh-CN" w:bidi="ar-SA"/>
        </w:rPr>
        <w:t>“无重大疫情事故、</w:t>
      </w:r>
      <w:r>
        <w:rPr>
          <w:rFonts w:hint="eastAsia" w:ascii="Times New Roman" w:hAnsi="Times New Roman" w:eastAsia="仿宋_GB2312" w:cs="Times New Roman"/>
          <w:b w:val="0"/>
          <w:color w:val="auto"/>
          <w:kern w:val="2"/>
          <w:sz w:val="32"/>
          <w:szCs w:val="32"/>
          <w:lang w:val="en-US" w:eastAsia="zh-CN" w:bidi="ar-SA"/>
        </w:rPr>
        <w:t>无</w:t>
      </w:r>
      <w:r>
        <w:rPr>
          <w:rFonts w:hint="default" w:ascii="Times New Roman" w:hAnsi="Times New Roman" w:eastAsia="仿宋_GB2312" w:cs="Times New Roman"/>
          <w:b w:val="0"/>
          <w:color w:val="auto"/>
          <w:kern w:val="2"/>
          <w:sz w:val="32"/>
          <w:szCs w:val="32"/>
          <w:lang w:val="en-US" w:eastAsia="zh-CN" w:bidi="ar-SA"/>
        </w:rPr>
        <w:t>安全生产事故</w:t>
      </w:r>
      <w:r>
        <w:rPr>
          <w:rFonts w:hint="eastAsia" w:ascii="Times New Roman" w:hAnsi="Times New Roman" w:eastAsia="仿宋_GB2312" w:cs="Times New Roman"/>
          <w:b w:val="0"/>
          <w:color w:val="auto"/>
          <w:kern w:val="2"/>
          <w:sz w:val="32"/>
          <w:szCs w:val="32"/>
          <w:lang w:val="en-US" w:eastAsia="zh-CN" w:bidi="ar-SA"/>
        </w:rPr>
        <w:t>、</w:t>
      </w:r>
      <w:r>
        <w:rPr>
          <w:rFonts w:hint="default" w:ascii="Times New Roman" w:hAnsi="Times New Roman" w:eastAsia="仿宋_GB2312" w:cs="Times New Roman"/>
          <w:kern w:val="0"/>
          <w:sz w:val="32"/>
          <w:szCs w:val="32"/>
          <w:lang w:val="en-US" w:eastAsia="zh-CN" w:bidi="ar-SA"/>
        </w:rPr>
        <w:t>无进京非访</w:t>
      </w:r>
      <w:r>
        <w:rPr>
          <w:rFonts w:hint="eastAsia" w:ascii="Times New Roman" w:hAnsi="Times New Roman" w:eastAsia="仿宋_GB2312" w:cs="Times New Roman"/>
          <w:kern w:val="0"/>
          <w:sz w:val="32"/>
          <w:szCs w:val="32"/>
          <w:lang w:val="en-US" w:eastAsia="zh-CN" w:bidi="ar-SA"/>
        </w:rPr>
        <w:t>”的“三无”目标</w:t>
      </w:r>
      <w:r>
        <w:rPr>
          <w:rFonts w:hint="default" w:ascii="Times New Roman" w:hAnsi="Times New Roman" w:eastAsia="仿宋_GB2312" w:cs="Times New Roman"/>
          <w:kern w:val="0"/>
          <w:sz w:val="32"/>
          <w:szCs w:val="32"/>
          <w:lang w:val="en-US" w:eastAsia="zh-CN" w:bidi="ar-SA"/>
        </w:rPr>
        <w:t>。</w:t>
      </w:r>
      <w:r>
        <w:rPr>
          <w:rFonts w:hint="eastAsia" w:ascii="Times New Roman" w:hAnsi="Times New Roman" w:eastAsia="仿宋_GB2312" w:cs="Times New Roman"/>
          <w:kern w:val="0"/>
          <w:sz w:val="32"/>
          <w:szCs w:val="32"/>
          <w:lang w:val="en-US" w:eastAsia="zh-CN" w:bidi="ar-SA"/>
        </w:rPr>
        <w:t>科大佳园社区退役军人服务工作经验被中央、省、市、区退役军人事务机构宣传推介。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00" w:firstLineChars="200"/>
        <w:jc w:val="left"/>
        <w:textAlignment w:val="auto"/>
        <w:rPr>
          <w:rStyle w:val="8"/>
          <w:rFonts w:hint="default" w:ascii="黑体" w:hAnsi="黑体" w:eastAsia="黑体" w:cs="黑体"/>
          <w:b w:val="0"/>
          <w:bCs/>
          <w:i w:val="0"/>
          <w:caps w:val="0"/>
          <w:color w:val="030303"/>
          <w:spacing w:val="0"/>
          <w:sz w:val="30"/>
          <w:szCs w:val="30"/>
          <w:shd w:val="clear" w:fill="FFFFFF"/>
          <w:lang w:val="en-US" w:eastAsia="zh-CN"/>
        </w:rPr>
      </w:pPr>
      <w:r>
        <w:rPr>
          <w:rStyle w:val="8"/>
          <w:rFonts w:hint="eastAsia" w:ascii="黑体" w:hAnsi="黑体" w:eastAsia="黑体" w:cs="黑体"/>
          <w:b w:val="0"/>
          <w:bCs/>
          <w:i w:val="0"/>
          <w:caps w:val="0"/>
          <w:color w:val="030303"/>
          <w:spacing w:val="0"/>
          <w:sz w:val="30"/>
          <w:szCs w:val="30"/>
          <w:shd w:val="clear" w:fill="FFFFFF"/>
          <w:lang w:val="en-US" w:eastAsia="zh-CN"/>
        </w:rPr>
        <w:t>4、</w:t>
      </w:r>
      <w:r>
        <w:rPr>
          <w:rStyle w:val="8"/>
          <w:rFonts w:hint="default" w:ascii="黑体" w:hAnsi="黑体" w:eastAsia="黑体" w:cs="黑体"/>
          <w:b w:val="0"/>
          <w:bCs/>
          <w:i w:val="0"/>
          <w:caps w:val="0"/>
          <w:color w:val="030303"/>
          <w:spacing w:val="0"/>
          <w:sz w:val="30"/>
          <w:szCs w:val="30"/>
          <w:shd w:val="clear" w:fill="FFFFFF"/>
          <w:lang w:val="en-US" w:eastAsia="zh-CN"/>
        </w:rPr>
        <w:t>党建引领全面加强</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eastAsia" w:ascii="楷体_GB2312" w:hAnsi="楷体_GB2312" w:eastAsia="楷体_GB2312" w:cs="楷体_GB2312"/>
          <w:b/>
          <w:bCs/>
          <w:kern w:val="2"/>
          <w:sz w:val="32"/>
          <w:szCs w:val="32"/>
          <w:lang w:val="en-US" w:eastAsia="zh-CN" w:bidi="ar-SA"/>
        </w:rPr>
        <w:t>一是</w:t>
      </w:r>
      <w:r>
        <w:rPr>
          <w:rFonts w:hint="default" w:ascii="楷体_GB2312" w:hAnsi="楷体_GB2312" w:eastAsia="楷体_GB2312" w:cs="楷体_GB2312"/>
          <w:b/>
          <w:bCs/>
          <w:kern w:val="2"/>
          <w:sz w:val="32"/>
          <w:szCs w:val="32"/>
          <w:lang w:val="en-US" w:eastAsia="zh-CN" w:bidi="ar-SA"/>
        </w:rPr>
        <w:t>组织基础</w:t>
      </w:r>
      <w:r>
        <w:rPr>
          <w:rFonts w:hint="eastAsia" w:ascii="楷体_GB2312" w:hAnsi="楷体_GB2312" w:eastAsia="楷体_GB2312" w:cs="楷体_GB2312"/>
          <w:b/>
          <w:bCs/>
          <w:kern w:val="2"/>
          <w:sz w:val="32"/>
          <w:szCs w:val="32"/>
          <w:lang w:val="en-US" w:eastAsia="zh-CN" w:bidi="ar-SA"/>
        </w:rPr>
        <w:t>日益夯实</w:t>
      </w:r>
      <w:r>
        <w:rPr>
          <w:rFonts w:hint="default" w:ascii="楷体_GB2312" w:hAnsi="楷体_GB2312" w:eastAsia="楷体_GB2312" w:cs="楷体_GB2312"/>
          <w:b/>
          <w:bCs/>
          <w:kern w:val="2"/>
          <w:sz w:val="32"/>
          <w:szCs w:val="32"/>
          <w:lang w:val="en-US" w:eastAsia="zh-CN" w:bidi="ar-SA"/>
        </w:rPr>
        <w:t>。</w:t>
      </w:r>
      <w:r>
        <w:rPr>
          <w:rFonts w:hint="eastAsia" w:ascii="Times New Roman" w:hAnsi="Times New Roman" w:eastAsia="仿宋_GB2312" w:cs="Times New Roman"/>
          <w:color w:val="auto"/>
          <w:spacing w:val="-2"/>
          <w:sz w:val="32"/>
          <w:szCs w:val="32"/>
          <w:lang w:val="en-US" w:eastAsia="zh-CN"/>
        </w:rPr>
        <w:t>有序推进7个社区“两委”换届工作。全面</w:t>
      </w:r>
      <w:r>
        <w:rPr>
          <w:rFonts w:hint="default" w:ascii="Times New Roman" w:hAnsi="Times New Roman" w:eastAsia="仿宋_GB2312" w:cs="Times New Roman"/>
          <w:b w:val="0"/>
          <w:bCs w:val="0"/>
          <w:sz w:val="32"/>
          <w:szCs w:val="32"/>
          <w:lang w:eastAsia="zh-CN"/>
        </w:rPr>
        <w:t>完成全街</w:t>
      </w:r>
      <w:r>
        <w:rPr>
          <w:rFonts w:hint="default" w:ascii="Times New Roman" w:hAnsi="Times New Roman" w:eastAsia="仿宋_GB2312" w:cs="Times New Roman"/>
          <w:b w:val="0"/>
          <w:bCs w:val="0"/>
          <w:sz w:val="32"/>
          <w:szCs w:val="32"/>
          <w:lang w:val="en-US" w:eastAsia="zh-CN"/>
        </w:rPr>
        <w:t>党支部“五化”建设，10个支部</w:t>
      </w:r>
      <w:r>
        <w:rPr>
          <w:rFonts w:hint="eastAsia" w:ascii="Times New Roman" w:hAnsi="Times New Roman" w:eastAsia="仿宋_GB2312" w:cs="Times New Roman"/>
          <w:b w:val="0"/>
          <w:bCs w:val="0"/>
          <w:sz w:val="32"/>
          <w:szCs w:val="32"/>
          <w:lang w:val="en-US" w:eastAsia="zh-CN"/>
        </w:rPr>
        <w:t>获评</w:t>
      </w:r>
      <w:r>
        <w:rPr>
          <w:rFonts w:hint="default" w:ascii="Times New Roman" w:hAnsi="Times New Roman" w:eastAsia="仿宋_GB2312" w:cs="Times New Roman"/>
          <w:b w:val="0"/>
          <w:bCs w:val="0"/>
          <w:sz w:val="32"/>
          <w:szCs w:val="32"/>
          <w:lang w:val="en-US" w:eastAsia="zh-CN"/>
        </w:rPr>
        <w:t>开福区示范“五化”党支部。</w:t>
      </w:r>
      <w:r>
        <w:rPr>
          <w:rFonts w:hint="default" w:ascii="Times New Roman" w:hAnsi="Times New Roman" w:eastAsia="仿宋_GB2312" w:cs="Times New Roman"/>
          <w:color w:val="auto"/>
          <w:spacing w:val="-2"/>
          <w:sz w:val="32"/>
          <w:szCs w:val="32"/>
          <w:lang w:val="en-US" w:eastAsia="zh-CN"/>
        </w:rPr>
        <w:t>成立街道党建服务“智囊团”，对口联系指导“两新”组织党建工作。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default" w:ascii="Times New Roman" w:hAnsi="Times New Roman" w:eastAsia="仿宋_GB2312" w:cs="Times New Roman"/>
          <w:b w:val="0"/>
          <w:color w:val="auto"/>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二是</w:t>
      </w:r>
      <w:r>
        <w:rPr>
          <w:rFonts w:hint="default" w:ascii="楷体_GB2312" w:hAnsi="楷体_GB2312" w:eastAsia="楷体_GB2312" w:cs="楷体_GB2312"/>
          <w:b/>
          <w:bCs/>
          <w:kern w:val="2"/>
          <w:sz w:val="32"/>
          <w:szCs w:val="32"/>
          <w:lang w:val="en-US" w:eastAsia="zh-CN" w:bidi="ar-SA"/>
        </w:rPr>
        <w:t>党建内涵</w:t>
      </w:r>
      <w:r>
        <w:rPr>
          <w:rFonts w:hint="eastAsia" w:ascii="楷体_GB2312" w:hAnsi="楷体_GB2312" w:eastAsia="楷体_GB2312" w:cs="楷体_GB2312"/>
          <w:b/>
          <w:bCs/>
          <w:kern w:val="2"/>
          <w:sz w:val="32"/>
          <w:szCs w:val="32"/>
          <w:lang w:val="en-US" w:eastAsia="zh-CN" w:bidi="ar-SA"/>
        </w:rPr>
        <w:t>不断</w:t>
      </w:r>
      <w:r>
        <w:rPr>
          <w:rFonts w:hint="default" w:ascii="楷体_GB2312" w:hAnsi="楷体_GB2312" w:eastAsia="楷体_GB2312" w:cs="楷体_GB2312"/>
          <w:b/>
          <w:bCs/>
          <w:kern w:val="2"/>
          <w:sz w:val="32"/>
          <w:szCs w:val="32"/>
          <w:lang w:val="en-US" w:eastAsia="zh-CN" w:bidi="ar-SA"/>
        </w:rPr>
        <w:t>充实。</w:t>
      </w:r>
      <w:r>
        <w:rPr>
          <w:rFonts w:hint="default" w:ascii="Times New Roman" w:hAnsi="Times New Roman" w:eastAsia="仿宋_GB2312" w:cs="Times New Roman"/>
          <w:b w:val="0"/>
          <w:bCs w:val="0"/>
          <w:color w:val="auto"/>
          <w:kern w:val="2"/>
          <w:sz w:val="32"/>
          <w:szCs w:val="32"/>
          <w:lang w:val="en-US" w:eastAsia="zh-CN" w:bidi="ar-SA"/>
        </w:rPr>
        <w:t>整合小区</w:t>
      </w:r>
      <w:r>
        <w:rPr>
          <w:rFonts w:hint="eastAsia" w:ascii="Times New Roman" w:hAnsi="Times New Roman" w:eastAsia="仿宋_GB2312" w:cs="Times New Roman"/>
          <w:b w:val="0"/>
          <w:bCs w:val="0"/>
          <w:color w:val="auto"/>
          <w:kern w:val="2"/>
          <w:sz w:val="32"/>
          <w:szCs w:val="32"/>
          <w:lang w:val="en-US" w:eastAsia="zh-CN" w:bidi="ar-SA"/>
        </w:rPr>
        <w:t>、</w:t>
      </w:r>
      <w:r>
        <w:rPr>
          <w:rFonts w:hint="default" w:ascii="Times New Roman" w:hAnsi="Times New Roman" w:eastAsia="仿宋_GB2312" w:cs="Times New Roman"/>
          <w:b w:val="0"/>
          <w:bCs w:val="0"/>
          <w:color w:val="auto"/>
          <w:kern w:val="2"/>
          <w:sz w:val="32"/>
          <w:szCs w:val="32"/>
          <w:lang w:val="en-US" w:eastAsia="zh-CN" w:bidi="ar-SA"/>
        </w:rPr>
        <w:t>楼宇</w:t>
      </w:r>
      <w:r>
        <w:rPr>
          <w:rFonts w:hint="eastAsia" w:ascii="Times New Roman" w:hAnsi="Times New Roman" w:eastAsia="仿宋_GB2312" w:cs="Times New Roman"/>
          <w:b w:val="0"/>
          <w:bCs w:val="0"/>
          <w:color w:val="auto"/>
          <w:kern w:val="2"/>
          <w:sz w:val="32"/>
          <w:szCs w:val="32"/>
          <w:lang w:val="en-US" w:eastAsia="zh-CN" w:bidi="ar-SA"/>
        </w:rPr>
        <w:t>阵地</w:t>
      </w:r>
      <w:r>
        <w:rPr>
          <w:rFonts w:hint="default" w:ascii="Times New Roman" w:hAnsi="Times New Roman" w:eastAsia="仿宋_GB2312" w:cs="Times New Roman"/>
          <w:b w:val="0"/>
          <w:bCs w:val="0"/>
          <w:color w:val="auto"/>
          <w:kern w:val="2"/>
          <w:sz w:val="32"/>
          <w:szCs w:val="32"/>
          <w:lang w:val="en-US" w:eastAsia="zh-CN" w:bidi="ar-SA"/>
        </w:rPr>
        <w:t>资源，</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创</w:t>
      </w:r>
      <w:r>
        <w:rPr>
          <w:rFonts w:hint="default" w:ascii="Times New Roman" w:hAnsi="Times New Roman" w:eastAsia="仿宋_GB2312" w:cs="Times New Roman"/>
          <w:color w:val="000000"/>
          <w:sz w:val="32"/>
          <w:szCs w:val="32"/>
          <w:lang w:eastAsia="zh-CN"/>
        </w:rPr>
        <w:t>新打造建湘新村、蒋家垅社区</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邻里中心</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b w:val="0"/>
          <w:color w:val="auto"/>
          <w:kern w:val="2"/>
          <w:sz w:val="32"/>
          <w:szCs w:val="32"/>
          <w:lang w:val="en-US" w:eastAsia="zh-CN" w:bidi="ar-SA"/>
        </w:rPr>
        <w:t>，</w:t>
      </w:r>
      <w:r>
        <w:rPr>
          <w:rFonts w:hint="eastAsia" w:ascii="Times New Roman" w:hAnsi="Times New Roman" w:eastAsia="仿宋_GB2312" w:cs="Times New Roman"/>
          <w:color w:val="000000"/>
          <w:sz w:val="32"/>
          <w:szCs w:val="32"/>
          <w:lang w:val="en-US" w:eastAsia="zh-CN"/>
        </w:rPr>
        <w:t>陡岭社区率先打造“长沙市社会科学普及基地”，</w:t>
      </w:r>
      <w:r>
        <w:rPr>
          <w:rFonts w:hint="default" w:ascii="Times New Roman" w:hAnsi="Times New Roman" w:eastAsia="仿宋_GB2312" w:cs="Times New Roman"/>
          <w:color w:val="000000"/>
          <w:sz w:val="32"/>
          <w:szCs w:val="32"/>
          <w:lang w:val="en-US" w:eastAsia="zh-CN"/>
        </w:rPr>
        <w:t>浏阳河社区</w:t>
      </w:r>
      <w:r>
        <w:rPr>
          <w:rFonts w:hint="eastAsia" w:ascii="Times New Roman" w:hAnsi="Times New Roman" w:eastAsia="仿宋_GB2312" w:cs="Times New Roman"/>
          <w:color w:val="000000"/>
          <w:sz w:val="32"/>
          <w:szCs w:val="32"/>
          <w:lang w:val="en-US" w:eastAsia="zh-CN"/>
        </w:rPr>
        <w:t>成功建设“长沙市示范妇女儿童之家”，</w:t>
      </w:r>
      <w:r>
        <w:rPr>
          <w:rFonts w:hint="eastAsia" w:ascii="Times New Roman" w:hAnsi="Times New Roman" w:eastAsia="仿宋_GB2312" w:cs="Times New Roman"/>
          <w:color w:val="auto"/>
          <w:spacing w:val="-2"/>
          <w:sz w:val="32"/>
          <w:szCs w:val="32"/>
          <w:lang w:val="en-US" w:eastAsia="zh-CN"/>
        </w:rPr>
        <w:t>街道武装部顺利完成省军区基层武装部四星级达标考核</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pPr>
      <w:r>
        <w:rPr>
          <w:rFonts w:hint="eastAsia" w:ascii="楷体_GB2312" w:hAnsi="楷体_GB2312" w:eastAsia="楷体_GB2312" w:cs="楷体_GB2312"/>
          <w:b/>
          <w:bCs/>
          <w:kern w:val="2"/>
          <w:sz w:val="32"/>
          <w:szCs w:val="32"/>
          <w:lang w:val="en-US" w:eastAsia="zh-CN" w:bidi="ar-SA"/>
        </w:rPr>
        <w:t>三是干部作风更加严实</w:t>
      </w:r>
      <w:r>
        <w:rPr>
          <w:rFonts w:hint="default" w:ascii="楷体_GB2312" w:hAnsi="楷体_GB2312" w:eastAsia="楷体_GB2312" w:cs="楷体_GB2312"/>
          <w:b/>
          <w:bCs/>
          <w:kern w:val="2"/>
          <w:sz w:val="32"/>
          <w:szCs w:val="32"/>
          <w:lang w:val="en-US" w:eastAsia="zh-CN" w:bidi="ar-SA"/>
        </w:rPr>
        <w:t>。</w:t>
      </w:r>
      <w:r>
        <w:rPr>
          <w:rFonts w:hint="default" w:ascii="Times New Roman" w:hAnsi="Times New Roman" w:eastAsia="仿宋_GB2312" w:cs="Times New Roman"/>
          <w:color w:val="000000"/>
          <w:kern w:val="0"/>
          <w:sz w:val="31"/>
          <w:szCs w:val="31"/>
          <w:lang w:val="en-US" w:eastAsia="zh-CN" w:bidi="ar"/>
        </w:rPr>
        <w:t>压紧压实“两个责任”，</w:t>
      </w:r>
      <w:r>
        <w:rPr>
          <w:rFonts w:hint="default" w:ascii="Times New Roman" w:hAnsi="Times New Roman" w:eastAsia="仿宋_GB2312" w:cs="Times New Roman"/>
          <w:b w:val="0"/>
          <w:kern w:val="2"/>
          <w:sz w:val="32"/>
          <w:szCs w:val="32"/>
          <w:lang w:val="en-US" w:eastAsia="zh-CN" w:bidi="ar-SA"/>
        </w:rPr>
        <w:t>全年办结纪检监察范围内</w:t>
      </w:r>
      <w:r>
        <w:rPr>
          <w:rFonts w:hint="eastAsia" w:ascii="Times New Roman" w:hAnsi="Times New Roman" w:eastAsia="仿宋_GB2312" w:cs="Times New Roman"/>
          <w:b w:val="0"/>
          <w:kern w:val="2"/>
          <w:sz w:val="32"/>
          <w:szCs w:val="32"/>
          <w:lang w:val="en-US" w:eastAsia="zh-CN" w:bidi="ar-SA"/>
        </w:rPr>
        <w:t>问题线索</w:t>
      </w:r>
      <w:r>
        <w:rPr>
          <w:rFonts w:hint="default" w:ascii="Times New Roman" w:hAnsi="Times New Roman" w:eastAsia="仿宋_GB2312" w:cs="Times New Roman"/>
          <w:b w:val="0"/>
          <w:kern w:val="2"/>
          <w:sz w:val="32"/>
          <w:szCs w:val="32"/>
          <w:lang w:val="en-US" w:eastAsia="zh-CN" w:bidi="ar-SA"/>
        </w:rPr>
        <w:t>1</w:t>
      </w:r>
      <w:r>
        <w:rPr>
          <w:rFonts w:hint="eastAsia" w:ascii="Times New Roman" w:hAnsi="Times New Roman" w:eastAsia="仿宋_GB2312" w:cs="Times New Roman"/>
          <w:b w:val="0"/>
          <w:kern w:val="2"/>
          <w:sz w:val="32"/>
          <w:szCs w:val="32"/>
          <w:lang w:val="en-US" w:eastAsia="zh-CN" w:bidi="ar-SA"/>
        </w:rPr>
        <w:t>8</w:t>
      </w:r>
      <w:r>
        <w:rPr>
          <w:rFonts w:hint="default" w:ascii="Times New Roman" w:hAnsi="Times New Roman" w:eastAsia="仿宋_GB2312" w:cs="Times New Roman"/>
          <w:b w:val="0"/>
          <w:kern w:val="2"/>
          <w:sz w:val="32"/>
          <w:szCs w:val="32"/>
          <w:lang w:val="en-US" w:eastAsia="zh-CN" w:bidi="ar-SA"/>
        </w:rPr>
        <w:t>件，</w:t>
      </w:r>
      <w:r>
        <w:rPr>
          <w:rFonts w:hint="default" w:ascii="Times New Roman" w:hAnsi="Times New Roman" w:eastAsia="仿宋_GB2312" w:cs="Times New Roman"/>
          <w:b w:val="0"/>
          <w:bCs/>
          <w:sz w:val="32"/>
          <w:szCs w:val="32"/>
          <w:lang w:val="en-US" w:eastAsia="zh-CN"/>
        </w:rPr>
        <w:t>办理违纪违规案件</w:t>
      </w:r>
      <w:r>
        <w:rPr>
          <w:rFonts w:hint="eastAsia" w:ascii="Times New Roman" w:hAnsi="Times New Roman" w:eastAsia="仿宋_GB2312" w:cs="Times New Roman"/>
          <w:b w:val="0"/>
          <w:bCs/>
          <w:sz w:val="32"/>
          <w:szCs w:val="32"/>
          <w:lang w:val="en-US" w:eastAsia="zh-CN"/>
        </w:rPr>
        <w:t>3</w:t>
      </w:r>
      <w:r>
        <w:rPr>
          <w:rFonts w:hint="default" w:ascii="Times New Roman" w:hAnsi="Times New Roman" w:eastAsia="仿宋_GB2312" w:cs="Times New Roman"/>
          <w:b w:val="0"/>
          <w:bCs/>
          <w:sz w:val="32"/>
          <w:szCs w:val="32"/>
          <w:lang w:val="en-US" w:eastAsia="zh-CN"/>
        </w:rPr>
        <w:t>件，党纪政纪处分</w:t>
      </w:r>
      <w:r>
        <w:rPr>
          <w:rFonts w:hint="eastAsia" w:ascii="Times New Roman" w:hAnsi="Times New Roman" w:eastAsia="仿宋_GB2312" w:cs="Times New Roman"/>
          <w:b w:val="0"/>
          <w:bCs/>
          <w:sz w:val="32"/>
          <w:szCs w:val="32"/>
          <w:lang w:val="en-US" w:eastAsia="zh-CN"/>
        </w:rPr>
        <w:t>2</w:t>
      </w:r>
      <w:r>
        <w:rPr>
          <w:rFonts w:hint="default" w:ascii="Times New Roman" w:hAnsi="Times New Roman" w:eastAsia="仿宋_GB2312" w:cs="Times New Roman"/>
          <w:b w:val="0"/>
          <w:bCs/>
          <w:sz w:val="32"/>
          <w:szCs w:val="32"/>
          <w:lang w:val="en-US" w:eastAsia="zh-CN"/>
        </w:rPr>
        <w:t>人次，诫勉谈话4人次，批评教育</w:t>
      </w:r>
      <w:r>
        <w:rPr>
          <w:rFonts w:hint="eastAsia" w:ascii="Times New Roman" w:hAnsi="Times New Roman" w:eastAsia="仿宋_GB2312" w:cs="Times New Roman"/>
          <w:b w:val="0"/>
          <w:bCs/>
          <w:sz w:val="32"/>
          <w:szCs w:val="32"/>
          <w:lang w:val="en-US" w:eastAsia="zh-CN"/>
        </w:rPr>
        <w:t>9</w:t>
      </w:r>
      <w:r>
        <w:rPr>
          <w:rFonts w:hint="default" w:ascii="Times New Roman" w:hAnsi="Times New Roman" w:eastAsia="仿宋_GB2312" w:cs="Times New Roman"/>
          <w:b w:val="0"/>
          <w:bCs/>
          <w:sz w:val="32"/>
          <w:szCs w:val="32"/>
          <w:lang w:val="en-US" w:eastAsia="zh-CN"/>
        </w:rPr>
        <w:t>人次，提醒谈话2人次，例行廉政谈话</w:t>
      </w:r>
      <w:r>
        <w:rPr>
          <w:rFonts w:hint="eastAsia" w:ascii="Times New Roman" w:hAnsi="Times New Roman" w:eastAsia="仿宋_GB2312" w:cs="Times New Roman"/>
          <w:b w:val="0"/>
          <w:bCs/>
          <w:sz w:val="32"/>
          <w:szCs w:val="32"/>
          <w:lang w:val="en-US" w:eastAsia="zh-CN"/>
        </w:rPr>
        <w:t>85</w:t>
      </w:r>
      <w:r>
        <w:rPr>
          <w:rFonts w:hint="default" w:ascii="Times New Roman" w:hAnsi="Times New Roman" w:eastAsia="仿宋_GB2312" w:cs="Times New Roman"/>
          <w:b w:val="0"/>
          <w:bCs/>
          <w:sz w:val="32"/>
          <w:szCs w:val="32"/>
          <w:lang w:val="en-US" w:eastAsia="zh-CN"/>
        </w:rPr>
        <w:t>人次，</w:t>
      </w:r>
      <w:r>
        <w:rPr>
          <w:rFonts w:hint="default" w:ascii="Times New Roman" w:hAnsi="Times New Roman" w:eastAsia="仿宋_GB2312" w:cs="Times New Roman"/>
          <w:color w:val="000000"/>
          <w:kern w:val="0"/>
          <w:sz w:val="31"/>
          <w:szCs w:val="31"/>
          <w:lang w:val="en-US" w:eastAsia="zh-CN" w:bidi="ar"/>
        </w:rPr>
        <w:t>认真落实区委巡察整改</w:t>
      </w:r>
      <w:r>
        <w:rPr>
          <w:rFonts w:hint="eastAsia" w:ascii="Times New Roman" w:hAnsi="Times New Roman" w:eastAsia="仿宋_GB2312" w:cs="Times New Roman"/>
          <w:color w:val="000000"/>
          <w:kern w:val="0"/>
          <w:sz w:val="31"/>
          <w:szCs w:val="31"/>
          <w:lang w:val="en-US" w:eastAsia="zh-CN" w:bidi="ar"/>
        </w:rPr>
        <w:t>要求</w:t>
      </w:r>
      <w:r>
        <w:rPr>
          <w:rFonts w:hint="default" w:ascii="Times New Roman" w:hAnsi="Times New Roman" w:eastAsia="仿宋_GB2312" w:cs="Times New Roman"/>
          <w:color w:val="000000"/>
          <w:kern w:val="0"/>
          <w:sz w:val="31"/>
          <w:szCs w:val="31"/>
          <w:lang w:val="en-US" w:eastAsia="zh-CN" w:bidi="ar"/>
        </w:rPr>
        <w:t>，强化日常督查督办，</w:t>
      </w:r>
      <w:r>
        <w:rPr>
          <w:rFonts w:hint="eastAsia" w:ascii="Times New Roman" w:hAnsi="Times New Roman" w:eastAsia="仿宋_GB2312" w:cs="Times New Roman"/>
          <w:b w:val="0"/>
          <w:bCs/>
          <w:sz w:val="32"/>
          <w:szCs w:val="32"/>
          <w:lang w:val="en-US" w:eastAsia="zh-CN"/>
        </w:rPr>
        <w:t>政治生态更加风清气正</w:t>
      </w:r>
      <w:r>
        <w:rPr>
          <w:rFonts w:hint="default" w:ascii="Times New Roman" w:hAnsi="Times New Roman" w:eastAsia="仿宋_GB2312" w:cs="Times New Roman"/>
          <w:b w:val="0"/>
          <w:bCs/>
          <w:sz w:val="32"/>
          <w:szCs w:val="32"/>
          <w:lang w:val="en-US" w:eastAsia="zh-CN"/>
        </w:rPr>
        <w:t>。</w:t>
      </w:r>
    </w:p>
    <w:p>
      <w:pPr>
        <w:widowControl/>
        <w:spacing w:line="600" w:lineRule="exact"/>
        <w:ind w:firstLine="645"/>
        <w:jc w:val="left"/>
        <w:rPr>
          <w:rFonts w:ascii="Times New Roman" w:hAnsi="Times New Roman" w:eastAsia="黑体" w:cs="Times New Roman"/>
          <w:sz w:val="32"/>
          <w:szCs w:val="32"/>
        </w:rPr>
      </w:pPr>
      <w:r>
        <w:rPr>
          <w:rFonts w:hint="eastAsia" w:ascii="Times New Roman" w:hAnsi="Times New Roman" w:eastAsia="黑体" w:cs="Times New Roman"/>
          <w:color w:val="000000"/>
          <w:sz w:val="32"/>
          <w:szCs w:val="32"/>
          <w:lang w:eastAsia="zh-CN"/>
        </w:rPr>
        <w:t>四</w:t>
      </w:r>
      <w:r>
        <w:rPr>
          <w:rFonts w:ascii="Times New Roman" w:hAnsi="Times New Roman" w:eastAsia="黑体" w:cs="Times New Roman"/>
          <w:color w:val="000000"/>
          <w:sz w:val="32"/>
          <w:szCs w:val="32"/>
        </w:rPr>
        <w:t>、</w:t>
      </w:r>
      <w:r>
        <w:rPr>
          <w:rFonts w:ascii="Times New Roman" w:hAnsi="Times New Roman" w:eastAsia="黑体" w:cs="Times New Roman"/>
          <w:sz w:val="32"/>
          <w:szCs w:val="32"/>
        </w:rPr>
        <w:t>存在的主要问题及下一步改进措施</w:t>
      </w:r>
    </w:p>
    <w:p>
      <w:pPr>
        <w:widowControl/>
        <w:snapToGrid w:val="0"/>
        <w:spacing w:line="560" w:lineRule="exact"/>
        <w:ind w:firstLine="640" w:firstLineChars="200"/>
        <w:jc w:val="left"/>
        <w:rPr>
          <w:rFonts w:hint="eastAsia" w:ascii="Times New Roman" w:hAnsi="Times New Roman" w:eastAsia="黑体"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（一）存在的主要问题</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00" w:firstLineChars="200"/>
        <w:jc w:val="left"/>
        <w:textAlignment w:val="auto"/>
        <w:rPr>
          <w:rStyle w:val="8"/>
          <w:rFonts w:hint="eastAsia" w:ascii="黑体" w:hAnsi="黑体" w:eastAsia="黑体" w:cs="黑体"/>
          <w:b w:val="0"/>
          <w:bCs/>
          <w:i w:val="0"/>
          <w:caps w:val="0"/>
          <w:color w:val="030303"/>
          <w:spacing w:val="0"/>
          <w:sz w:val="30"/>
          <w:szCs w:val="30"/>
          <w:shd w:val="clear" w:fill="FFFFFF"/>
          <w:lang w:val="en-US" w:eastAsia="zh-CN"/>
        </w:rPr>
      </w:pPr>
      <w:r>
        <w:rPr>
          <w:rStyle w:val="8"/>
          <w:rFonts w:hint="eastAsia" w:ascii="黑体" w:hAnsi="黑体" w:eastAsia="黑体" w:cs="黑体"/>
          <w:b w:val="0"/>
          <w:bCs/>
          <w:i w:val="0"/>
          <w:caps w:val="0"/>
          <w:color w:val="030303"/>
          <w:spacing w:val="0"/>
          <w:sz w:val="30"/>
          <w:szCs w:val="30"/>
          <w:shd w:val="clear" w:fill="FFFFFF"/>
          <w:lang w:val="en-US" w:eastAsia="zh-CN"/>
        </w:rPr>
        <w:t>1．部门整体年初预算数较决算数差异较大</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jc w:val="both"/>
        <w:textAlignment w:val="auto"/>
        <w:outlineLvl w:val="9"/>
        <w:rPr>
          <w:rFonts w:hint="eastAsia" w:ascii="Times New Roman" w:hAnsi="Times New Roman" w:eastAsia="仿宋_GB2312" w:cs="Times New Roman"/>
          <w:color w:val="auto"/>
          <w:spacing w:val="-2"/>
          <w:sz w:val="32"/>
          <w:szCs w:val="32"/>
          <w:lang w:val="en-US" w:eastAsia="zh-CN"/>
        </w:rPr>
      </w:pPr>
      <w:r>
        <w:rPr>
          <w:rFonts w:hint="eastAsia" w:ascii="Times New Roman" w:hAnsi="Times New Roman" w:eastAsia="仿宋_GB2312" w:cs="Times New Roman"/>
          <w:color w:val="auto"/>
          <w:spacing w:val="-2"/>
          <w:kern w:val="2"/>
          <w:sz w:val="32"/>
          <w:szCs w:val="32"/>
          <w:lang w:val="en-US" w:eastAsia="zh-CN" w:bidi="ar-SA"/>
        </w:rPr>
        <w:t>根据长沙市开福区财政局《关于下达2020年部门预算的通知》（开财发〔2020〕3号）（以下简称“年初预算批复”），我街道2020年初批复的部门预算数为5420万元，其中：基</w:t>
      </w:r>
      <w:r>
        <w:rPr>
          <w:rFonts w:hint="eastAsia" w:ascii="Times New Roman" w:hAnsi="Times New Roman" w:eastAsia="仿宋_GB2312" w:cs="Times New Roman"/>
          <w:color w:val="auto"/>
          <w:spacing w:val="-2"/>
          <w:sz w:val="32"/>
          <w:szCs w:val="32"/>
          <w:lang w:val="en-US" w:eastAsia="zh-CN"/>
        </w:rPr>
        <w:t>本支出为1872.96万元，项目支出为3547.04万元。年终决算支出6096.25万元，其中：基本支出2203.77万元，项目支出3892.48万元。</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jc w:val="both"/>
        <w:textAlignment w:val="auto"/>
        <w:outlineLvl w:val="9"/>
        <w:rPr>
          <w:rFonts w:hint="eastAsia" w:ascii="Times New Roman" w:hAnsi="Times New Roman" w:eastAsia="仿宋_GB2312" w:cs="Times New Roman"/>
          <w:color w:val="auto"/>
          <w:spacing w:val="-2"/>
          <w:sz w:val="32"/>
          <w:szCs w:val="32"/>
          <w:lang w:val="en-US" w:eastAsia="zh-CN"/>
        </w:rPr>
      </w:pPr>
      <w:r>
        <w:rPr>
          <w:rFonts w:hint="eastAsia" w:ascii="Times New Roman" w:hAnsi="Times New Roman" w:eastAsia="仿宋_GB2312" w:cs="Times New Roman"/>
          <w:color w:val="auto"/>
          <w:spacing w:val="-2"/>
          <w:sz w:val="32"/>
          <w:szCs w:val="32"/>
          <w:lang w:val="en-US" w:eastAsia="zh-CN"/>
        </w:rPr>
        <w:t xml:space="preserve">年初预算与年终决算数相差676.25万元，主要因为年初预算是根据街道体制控制来编制，重点保障人员经费及基本运转，未能全面预计当年收支情况，预算数未与街道实际支出相匹配，而决算是当年实际支出，包含预算追加及各部门的专项拨款支出，因此与年初预算数有较大差异。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00" w:firstLineChars="200"/>
        <w:jc w:val="left"/>
        <w:textAlignment w:val="auto"/>
        <w:rPr>
          <w:rStyle w:val="8"/>
          <w:rFonts w:hint="eastAsia" w:ascii="黑体" w:hAnsi="黑体" w:eastAsia="黑体" w:cs="黑体"/>
          <w:b w:val="0"/>
          <w:bCs/>
          <w:i w:val="0"/>
          <w:caps w:val="0"/>
          <w:color w:val="030303"/>
          <w:spacing w:val="0"/>
          <w:sz w:val="30"/>
          <w:szCs w:val="30"/>
          <w:shd w:val="clear" w:fill="FFFFFF"/>
          <w:lang w:val="en-US" w:eastAsia="zh-CN"/>
        </w:rPr>
      </w:pPr>
      <w:r>
        <w:rPr>
          <w:rStyle w:val="8"/>
          <w:rFonts w:hint="eastAsia" w:ascii="黑体" w:hAnsi="黑体" w:eastAsia="黑体" w:cs="黑体"/>
          <w:b w:val="0"/>
          <w:bCs/>
          <w:i w:val="0"/>
          <w:caps w:val="0"/>
          <w:color w:val="030303"/>
          <w:spacing w:val="0"/>
          <w:sz w:val="30"/>
          <w:szCs w:val="30"/>
          <w:shd w:val="clear" w:fill="FFFFFF"/>
          <w:lang w:val="en-US" w:eastAsia="zh-CN"/>
        </w:rPr>
        <w:t>2．政府采购完成数较预算数差异较大</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jc w:val="both"/>
        <w:textAlignment w:val="auto"/>
        <w:outlineLvl w:val="9"/>
        <w:rPr>
          <w:rFonts w:hint="eastAsia" w:ascii="Times New Roman" w:hAnsi="Times New Roman" w:eastAsia="仿宋_GB2312" w:cs="Times New Roman"/>
          <w:color w:val="auto"/>
          <w:spacing w:val="-2"/>
          <w:sz w:val="32"/>
          <w:szCs w:val="32"/>
          <w:lang w:val="en-US" w:eastAsia="zh-CN"/>
        </w:rPr>
      </w:pPr>
      <w:r>
        <w:rPr>
          <w:rFonts w:hint="eastAsia" w:ascii="Times New Roman" w:hAnsi="Times New Roman" w:eastAsia="仿宋_GB2312" w:cs="Times New Roman"/>
          <w:color w:val="auto"/>
          <w:spacing w:val="-2"/>
          <w:sz w:val="32"/>
          <w:szCs w:val="32"/>
          <w:lang w:val="en-US" w:eastAsia="zh-CN"/>
        </w:rPr>
        <w:t>我街道2020年度政府采购预算金额为332万元，实际执行政府采购金额为176.04万元，政府采购执行率为53.02%。</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jc w:val="both"/>
        <w:textAlignment w:val="auto"/>
        <w:outlineLvl w:val="9"/>
        <w:rPr>
          <w:rFonts w:hint="eastAsia" w:ascii="Times New Roman" w:hAnsi="Times New Roman" w:eastAsia="仿宋_GB2312" w:cs="Times New Roman"/>
          <w:color w:val="auto"/>
          <w:spacing w:val="-2"/>
          <w:sz w:val="32"/>
          <w:szCs w:val="32"/>
          <w:lang w:val="en-US" w:eastAsia="zh-CN"/>
        </w:rPr>
      </w:pPr>
      <w:r>
        <w:rPr>
          <w:rFonts w:hint="eastAsia" w:ascii="Times New Roman" w:hAnsi="Times New Roman" w:eastAsia="仿宋_GB2312" w:cs="Times New Roman"/>
          <w:color w:val="auto"/>
          <w:spacing w:val="-2"/>
          <w:sz w:val="32"/>
          <w:szCs w:val="32"/>
          <w:lang w:val="en-US" w:eastAsia="zh-CN"/>
        </w:rPr>
        <w:t>政府采购金额低于预算金额的主要原因是根据《长沙市开福区财政局关于转发&lt;长沙市人民政府办公厅关于印发长沙市2020—2021年度政府集中采购目录及政府采购限额标准的通知&gt;的通知》（开财发〔2020〕4号）文件，政府集中采购目录以外且未达到采购限额标准的项目不适用《政府采购法》的相关规定，采购人按单位内部控制管理制度要求进行采购并做好相关资料归档，因此2020年纳入政府采购范围的项目大幅减少，而预算金额是根据2019年下发的有关文件及2019年实际执行政府采购金额编制的，故有较大差异。</w:t>
      </w:r>
    </w:p>
    <w:p>
      <w:pPr>
        <w:widowControl/>
        <w:snapToGrid w:val="0"/>
        <w:spacing w:line="560" w:lineRule="exact"/>
        <w:ind w:firstLine="640" w:firstLineChars="200"/>
        <w:jc w:val="left"/>
        <w:rPr>
          <w:rFonts w:hint="eastAsia" w:ascii="Times New Roman" w:hAnsi="Times New Roman" w:eastAsia="黑体"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（二）下一步改进措施</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00" w:firstLineChars="200"/>
        <w:jc w:val="left"/>
        <w:textAlignment w:val="auto"/>
        <w:rPr>
          <w:rStyle w:val="8"/>
          <w:rFonts w:hint="eastAsia" w:ascii="黑体" w:hAnsi="黑体" w:eastAsia="黑体" w:cs="黑体"/>
          <w:b w:val="0"/>
          <w:bCs/>
          <w:i w:val="0"/>
          <w:caps w:val="0"/>
          <w:color w:val="030303"/>
          <w:spacing w:val="0"/>
          <w:sz w:val="30"/>
          <w:szCs w:val="30"/>
          <w:shd w:val="clear" w:fill="FFFFFF"/>
          <w:lang w:val="en-US" w:eastAsia="zh-CN"/>
        </w:rPr>
      </w:pPr>
      <w:r>
        <w:rPr>
          <w:rStyle w:val="8"/>
          <w:rFonts w:hint="eastAsia" w:ascii="黑体" w:hAnsi="黑体" w:eastAsia="黑体" w:cs="黑体"/>
          <w:b w:val="0"/>
          <w:bCs/>
          <w:i w:val="0"/>
          <w:caps w:val="0"/>
          <w:color w:val="030303"/>
          <w:spacing w:val="0"/>
          <w:sz w:val="30"/>
          <w:szCs w:val="30"/>
          <w:shd w:val="clear" w:fill="FFFFFF"/>
          <w:lang w:val="en-US" w:eastAsia="zh-CN"/>
        </w:rPr>
        <w:t>1．加强预算管理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（1）加强预算编制管理，夯实预算执行基础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jc w:val="both"/>
        <w:textAlignment w:val="auto"/>
        <w:outlineLvl w:val="9"/>
        <w:rPr>
          <w:rFonts w:hint="eastAsia" w:ascii="Times New Roman" w:hAnsi="Times New Roman" w:eastAsia="仿宋_GB2312" w:cs="Times New Roman"/>
          <w:color w:val="auto"/>
          <w:spacing w:val="-2"/>
          <w:sz w:val="32"/>
          <w:szCs w:val="32"/>
          <w:lang w:val="en-US" w:eastAsia="zh-CN"/>
        </w:rPr>
      </w:pPr>
      <w:r>
        <w:rPr>
          <w:rFonts w:hint="eastAsia" w:ascii="Times New Roman" w:hAnsi="Times New Roman" w:eastAsia="仿宋_GB2312" w:cs="Times New Roman"/>
          <w:color w:val="auto"/>
          <w:spacing w:val="-2"/>
          <w:sz w:val="32"/>
          <w:szCs w:val="32"/>
          <w:lang w:val="en-US" w:eastAsia="zh-CN"/>
        </w:rPr>
        <w:t>首先，需要保证预算编制的真实性，即部门预算收支的测算要以履行部门职能需要为依据，通过会议讨论分析制定具有可实施性的预算方案；其次是注重预算编制的科学、完整性，量入为出、收支平衡、不偏不漏，综合预算。</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（2）做好预算执行分析工作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jc w:val="both"/>
        <w:textAlignment w:val="auto"/>
        <w:outlineLvl w:val="9"/>
        <w:rPr>
          <w:rFonts w:hint="eastAsia" w:ascii="Times New Roman" w:hAnsi="Times New Roman" w:eastAsia="仿宋_GB2312" w:cs="Times New Roman"/>
          <w:color w:val="auto"/>
          <w:spacing w:val="-2"/>
          <w:sz w:val="32"/>
          <w:szCs w:val="32"/>
          <w:lang w:val="en-US" w:eastAsia="zh-CN"/>
        </w:rPr>
      </w:pPr>
      <w:r>
        <w:rPr>
          <w:rFonts w:hint="eastAsia" w:ascii="Times New Roman" w:hAnsi="Times New Roman" w:eastAsia="仿宋_GB2312" w:cs="Times New Roman"/>
          <w:color w:val="auto"/>
          <w:spacing w:val="-2"/>
          <w:sz w:val="32"/>
          <w:szCs w:val="32"/>
          <w:lang w:val="en-US" w:eastAsia="zh-CN"/>
        </w:rPr>
        <w:t>牢牢把握预算执行分析工作的真实性、及时性和全面性，及时跟踪预算执行动态变化过程，重点研究预算执行过程中出现的各种问题，强化预算执行全过程的管理，提供详实准确的预算执行数据，并准确预测预算收支的发展趋势，进一步提高财政预算的管理和决策水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（3）加强内部监督控制</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jc w:val="both"/>
        <w:textAlignment w:val="auto"/>
        <w:outlineLvl w:val="9"/>
        <w:rPr>
          <w:rFonts w:hint="eastAsia" w:ascii="Times New Roman" w:hAnsi="Times New Roman" w:eastAsia="仿宋_GB2312" w:cs="Times New Roman"/>
          <w:color w:val="auto"/>
          <w:spacing w:val="-2"/>
          <w:sz w:val="32"/>
          <w:szCs w:val="32"/>
          <w:lang w:val="en-US" w:eastAsia="zh-CN"/>
        </w:rPr>
      </w:pPr>
      <w:r>
        <w:rPr>
          <w:rFonts w:hint="eastAsia" w:ascii="Times New Roman" w:hAnsi="Times New Roman" w:eastAsia="仿宋_GB2312" w:cs="Times New Roman"/>
          <w:color w:val="auto"/>
          <w:spacing w:val="-2"/>
          <w:sz w:val="32"/>
          <w:szCs w:val="32"/>
          <w:lang w:val="en-US" w:eastAsia="zh-CN"/>
        </w:rPr>
        <w:t>一方面要调派熟悉单位自身发展和运作特点以及经费使用状况的财务管理人员担任内部审计监督职务，从而进一步加强内部审计工作与单位自身发展的契合性，另一方面跟踪监督每一步的经费预算执行情况，及时反馈执行信息，及时调整预算执行内容，最大限度提升预算执行的实际效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00" w:firstLineChars="200"/>
        <w:jc w:val="left"/>
        <w:textAlignment w:val="auto"/>
        <w:rPr>
          <w:rStyle w:val="8"/>
          <w:rFonts w:hint="eastAsia" w:ascii="黑体" w:hAnsi="黑体" w:eastAsia="黑体" w:cs="黑体"/>
          <w:b w:val="0"/>
          <w:bCs/>
          <w:i w:val="0"/>
          <w:caps w:val="0"/>
          <w:color w:val="030303"/>
          <w:spacing w:val="0"/>
          <w:sz w:val="30"/>
          <w:szCs w:val="30"/>
          <w:shd w:val="clear" w:fill="FFFFFF"/>
          <w:lang w:val="en-US" w:eastAsia="zh-CN"/>
        </w:rPr>
      </w:pPr>
      <w:r>
        <w:rPr>
          <w:rStyle w:val="8"/>
          <w:rFonts w:hint="eastAsia" w:ascii="黑体" w:hAnsi="黑体" w:eastAsia="黑体" w:cs="黑体"/>
          <w:b w:val="0"/>
          <w:bCs/>
          <w:i w:val="0"/>
          <w:caps w:val="0"/>
          <w:color w:val="030303"/>
          <w:spacing w:val="0"/>
          <w:sz w:val="30"/>
          <w:szCs w:val="30"/>
          <w:shd w:val="clear" w:fill="FFFFFF"/>
          <w:lang w:val="en-US" w:eastAsia="zh-CN"/>
        </w:rPr>
        <w:t>2．完善政府采购管理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jc w:val="both"/>
        <w:textAlignment w:val="auto"/>
        <w:outlineLvl w:val="9"/>
        <w:rPr>
          <w:rFonts w:hint="eastAsia" w:ascii="Times New Roman" w:hAnsi="Times New Roman" w:eastAsia="仿宋_GB2312" w:cs="Times New Roman"/>
          <w:color w:val="auto"/>
          <w:spacing w:val="-2"/>
          <w:sz w:val="32"/>
          <w:szCs w:val="32"/>
          <w:lang w:val="en-US" w:eastAsia="zh-CN"/>
        </w:rPr>
      </w:pPr>
      <w:r>
        <w:rPr>
          <w:rFonts w:hint="eastAsia" w:ascii="Times New Roman" w:hAnsi="Times New Roman" w:eastAsia="仿宋_GB2312" w:cs="Times New Roman"/>
          <w:color w:val="auto"/>
          <w:spacing w:val="-2"/>
          <w:sz w:val="32"/>
          <w:szCs w:val="32"/>
          <w:lang w:val="en-US" w:eastAsia="zh-CN"/>
        </w:rPr>
        <w:t>严格执行国家政府采购工作规定，制定本单位政府采购实施办法；编制本单位政府采购预算和政府采购计划，严格执行“无预算、无计划、不采购”的原则，凡能一次批量集中采购的，不允许分批多次采购；强化采购人主体责任，要求采购人建立完善政府采购全流程内部控制制度，严格落实采购审批程序；加强政府采购验收管理，联合纪委开展全面监督工作。</w:t>
      </w:r>
    </w:p>
    <w:p>
      <w:pPr>
        <w:widowControl/>
        <w:numPr>
          <w:ilvl w:val="0"/>
          <w:numId w:val="3"/>
        </w:numPr>
        <w:spacing w:line="600" w:lineRule="exact"/>
        <w:ind w:firstLine="645"/>
        <w:jc w:val="left"/>
        <w:rPr>
          <w:rFonts w:ascii="Times New Roman" w:hAnsi="Times New Roman" w:eastAsia="黑体" w:cs="Times New Roman"/>
          <w:sz w:val="32"/>
          <w:szCs w:val="32"/>
        </w:rPr>
      </w:pPr>
      <w:r>
        <w:rPr>
          <w:rFonts w:ascii="Times New Roman" w:hAnsi="Times New Roman" w:eastAsia="黑体" w:cs="Times New Roman"/>
          <w:sz w:val="32"/>
          <w:szCs w:val="32"/>
        </w:rPr>
        <w:t>绩效自评结果拟应用和公开情况</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jc w:val="both"/>
        <w:textAlignment w:val="auto"/>
        <w:outlineLvl w:val="9"/>
      </w:pPr>
      <w:r>
        <w:rPr>
          <w:rFonts w:hint="eastAsia" w:ascii="Times New Roman" w:hAnsi="Times New Roman" w:eastAsia="仿宋_GB2312" w:cs="Times New Roman"/>
          <w:color w:val="auto"/>
          <w:spacing w:val="-2"/>
          <w:sz w:val="32"/>
          <w:szCs w:val="32"/>
          <w:lang w:val="en-US" w:eastAsia="zh-CN"/>
        </w:rPr>
        <w:t>综合上述绩效评价情况，我街道</w:t>
      </w:r>
      <w:r>
        <w:rPr>
          <w:rFonts w:hint="default" w:ascii="Times New Roman" w:hAnsi="Times New Roman" w:eastAsia="仿宋_GB2312" w:cs="Times New Roman"/>
          <w:color w:val="auto"/>
          <w:spacing w:val="-2"/>
          <w:sz w:val="32"/>
          <w:szCs w:val="32"/>
          <w:lang w:val="en-US" w:eastAsia="zh-CN"/>
        </w:rPr>
        <w:t>保证了经济建设运行良好，重点工作有序推进，社会各项事业健康发展，较好地完成了全年目标任务，推动了街道经济持续、快速、健康地发展，较好地完成了各项工作</w:t>
      </w:r>
      <w:r>
        <w:rPr>
          <w:rFonts w:hint="eastAsia" w:ascii="Times New Roman" w:hAnsi="Times New Roman" w:eastAsia="仿宋_GB2312" w:cs="Times New Roman"/>
          <w:color w:val="auto"/>
          <w:spacing w:val="-2"/>
          <w:sz w:val="32"/>
          <w:szCs w:val="32"/>
          <w:lang w:val="en-US" w:eastAsia="zh-CN"/>
        </w:rPr>
        <w:t>，但也存在一定的问题。按照投入、过程、产出，效果等四方面进行评价，我街道2020年绩效自评结果较好，将根据财政相关要求进行公开，并运用到单位整体运行管理中，对不足之处加以改进完善，提高单位整体支出绩效水平。</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wordWrap w:val="0"/>
                            <w:jc w:val="right"/>
                          </w:pPr>
                          <w:r>
                            <w:rPr>
                              <w:sz w:val="24"/>
                              <w:szCs w:val="24"/>
                            </w:rPr>
                            <w:t>—</w:t>
                          </w:r>
                          <w:r>
                            <w:rPr>
                              <w:sz w:val="24"/>
                              <w:szCs w:val="24"/>
                            </w:rPr>
                            <w:fldChar w:fldCharType="begin"/>
                          </w:r>
                          <w:r>
                            <w:rPr>
                              <w:sz w:val="24"/>
                              <w:szCs w:val="24"/>
                            </w:rPr>
                            <w:instrText xml:space="preserve"> PAGE   \* MERGEFORMAT </w:instrText>
                          </w:r>
                          <w:r>
                            <w:rPr>
                              <w:sz w:val="24"/>
                              <w:szCs w:val="24"/>
                            </w:rPr>
                            <w:fldChar w:fldCharType="separate"/>
                          </w:r>
                          <w:r>
                            <w:rPr>
                              <w:sz w:val="24"/>
                              <w:szCs w:val="24"/>
                            </w:rPr>
                            <w:t>7</w:t>
                          </w:r>
                          <w:r>
                            <w:rPr>
                              <w:sz w:val="24"/>
                              <w:szCs w:val="24"/>
                            </w:rPr>
                            <w:fldChar w:fldCharType="end"/>
                          </w:r>
                          <w:r>
                            <w:rPr>
                              <w:sz w:val="24"/>
                              <w:szCs w:val="24"/>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wordWrap w:val="0"/>
                      <w:jc w:val="right"/>
                    </w:pPr>
                    <w:r>
                      <w:rPr>
                        <w:sz w:val="24"/>
                        <w:szCs w:val="24"/>
                      </w:rPr>
                      <w:t>—</w:t>
                    </w:r>
                    <w:r>
                      <w:rPr>
                        <w:sz w:val="24"/>
                        <w:szCs w:val="24"/>
                      </w:rPr>
                      <w:fldChar w:fldCharType="begin"/>
                    </w:r>
                    <w:r>
                      <w:rPr>
                        <w:sz w:val="24"/>
                        <w:szCs w:val="24"/>
                      </w:rPr>
                      <w:instrText xml:space="preserve"> PAGE   \* MERGEFORMAT </w:instrText>
                    </w:r>
                    <w:r>
                      <w:rPr>
                        <w:sz w:val="24"/>
                        <w:szCs w:val="24"/>
                      </w:rPr>
                      <w:fldChar w:fldCharType="separate"/>
                    </w:r>
                    <w:r>
                      <w:rPr>
                        <w:sz w:val="24"/>
                        <w:szCs w:val="24"/>
                      </w:rPr>
                      <w:t>7</w:t>
                    </w:r>
                    <w:r>
                      <w:rPr>
                        <w:sz w:val="24"/>
                        <w:szCs w:val="24"/>
                      </w:rPr>
                      <w:fldChar w:fldCharType="end"/>
                    </w:r>
                    <w:r>
                      <w:rPr>
                        <w:sz w:val="24"/>
                        <w:szCs w:val="24"/>
                      </w:rPr>
                      <w:t>—</w:t>
                    </w:r>
                  </w:p>
                </w:txbxContent>
              </v:textbox>
            </v:shape>
          </w:pict>
        </mc:Fallback>
      </mc:AlternateConten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528049"/>
    <w:multiLevelType w:val="singleLevel"/>
    <w:tmpl w:val="D2528049"/>
    <w:lvl w:ilvl="0" w:tentative="0">
      <w:start w:val="5"/>
      <w:numFmt w:val="chineseCounting"/>
      <w:suff w:val="nothing"/>
      <w:lvlText w:val="%1、"/>
      <w:lvlJc w:val="left"/>
      <w:rPr>
        <w:rFonts w:hint="eastAsia"/>
      </w:rPr>
    </w:lvl>
  </w:abstractNum>
  <w:abstractNum w:abstractNumId="1">
    <w:nsid w:val="318206AD"/>
    <w:multiLevelType w:val="multilevel"/>
    <w:tmpl w:val="318206AD"/>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79AC1E24"/>
    <w:multiLevelType w:val="multilevel"/>
    <w:tmpl w:val="79AC1E24"/>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497E39"/>
    <w:rsid w:val="002D4F36"/>
    <w:rsid w:val="00AA7547"/>
    <w:rsid w:val="017D3C42"/>
    <w:rsid w:val="0270067C"/>
    <w:rsid w:val="027716E5"/>
    <w:rsid w:val="04F9529B"/>
    <w:rsid w:val="06BE2E76"/>
    <w:rsid w:val="070A4387"/>
    <w:rsid w:val="07497E39"/>
    <w:rsid w:val="079C331C"/>
    <w:rsid w:val="07F25E18"/>
    <w:rsid w:val="08833D08"/>
    <w:rsid w:val="08906A11"/>
    <w:rsid w:val="08E226CF"/>
    <w:rsid w:val="098B7ED1"/>
    <w:rsid w:val="0A366733"/>
    <w:rsid w:val="0BAB41E6"/>
    <w:rsid w:val="0BEA2B39"/>
    <w:rsid w:val="0C3A2A3A"/>
    <w:rsid w:val="0CA85262"/>
    <w:rsid w:val="0D71632F"/>
    <w:rsid w:val="0F0038FB"/>
    <w:rsid w:val="0FA50C0F"/>
    <w:rsid w:val="0FE815F5"/>
    <w:rsid w:val="11DE25ED"/>
    <w:rsid w:val="13B2711D"/>
    <w:rsid w:val="14195DB6"/>
    <w:rsid w:val="1465507F"/>
    <w:rsid w:val="14A06CBE"/>
    <w:rsid w:val="16646731"/>
    <w:rsid w:val="18D93250"/>
    <w:rsid w:val="190D137D"/>
    <w:rsid w:val="19A64969"/>
    <w:rsid w:val="1ADD493F"/>
    <w:rsid w:val="1D4124BC"/>
    <w:rsid w:val="1D8F09AD"/>
    <w:rsid w:val="1E7359CD"/>
    <w:rsid w:val="1E9900DD"/>
    <w:rsid w:val="208F3643"/>
    <w:rsid w:val="20B02323"/>
    <w:rsid w:val="20C85B63"/>
    <w:rsid w:val="213B0D1F"/>
    <w:rsid w:val="214636B7"/>
    <w:rsid w:val="21C82A4F"/>
    <w:rsid w:val="21D56CA2"/>
    <w:rsid w:val="228C3EE1"/>
    <w:rsid w:val="22E463A5"/>
    <w:rsid w:val="23022BA1"/>
    <w:rsid w:val="26853CED"/>
    <w:rsid w:val="273E503D"/>
    <w:rsid w:val="28B729B1"/>
    <w:rsid w:val="2BDC6329"/>
    <w:rsid w:val="31D91090"/>
    <w:rsid w:val="33342B8B"/>
    <w:rsid w:val="334C0685"/>
    <w:rsid w:val="336664EF"/>
    <w:rsid w:val="33A8643A"/>
    <w:rsid w:val="36B6043D"/>
    <w:rsid w:val="38C51EE6"/>
    <w:rsid w:val="3AF23B86"/>
    <w:rsid w:val="3BDA4538"/>
    <w:rsid w:val="3C052531"/>
    <w:rsid w:val="3D7F1B2E"/>
    <w:rsid w:val="3E780FAB"/>
    <w:rsid w:val="40592C9C"/>
    <w:rsid w:val="410E0C48"/>
    <w:rsid w:val="442231D4"/>
    <w:rsid w:val="449D01D5"/>
    <w:rsid w:val="456D24AC"/>
    <w:rsid w:val="458C7453"/>
    <w:rsid w:val="45D711B0"/>
    <w:rsid w:val="490E7EB5"/>
    <w:rsid w:val="4A5D7E01"/>
    <w:rsid w:val="4AF552B2"/>
    <w:rsid w:val="4C3D2417"/>
    <w:rsid w:val="4C882399"/>
    <w:rsid w:val="5101481C"/>
    <w:rsid w:val="52133603"/>
    <w:rsid w:val="533E3D9A"/>
    <w:rsid w:val="5422405E"/>
    <w:rsid w:val="55AB4FE6"/>
    <w:rsid w:val="56021714"/>
    <w:rsid w:val="56C33FA6"/>
    <w:rsid w:val="5976696A"/>
    <w:rsid w:val="597816BD"/>
    <w:rsid w:val="5A1B1F3A"/>
    <w:rsid w:val="5B1A1566"/>
    <w:rsid w:val="5B1F6B42"/>
    <w:rsid w:val="605A294A"/>
    <w:rsid w:val="605E1B4D"/>
    <w:rsid w:val="618E046D"/>
    <w:rsid w:val="62571839"/>
    <w:rsid w:val="6297250E"/>
    <w:rsid w:val="62D27232"/>
    <w:rsid w:val="62DD4167"/>
    <w:rsid w:val="636E3FB2"/>
    <w:rsid w:val="65DF6C2F"/>
    <w:rsid w:val="68125C28"/>
    <w:rsid w:val="69DC70F8"/>
    <w:rsid w:val="6A5B3C8F"/>
    <w:rsid w:val="6A9209D5"/>
    <w:rsid w:val="6B403682"/>
    <w:rsid w:val="6C0F1550"/>
    <w:rsid w:val="6CA372A4"/>
    <w:rsid w:val="6D5241DF"/>
    <w:rsid w:val="6D604A9C"/>
    <w:rsid w:val="6EA93C9C"/>
    <w:rsid w:val="6EAC1B57"/>
    <w:rsid w:val="6EBD1E59"/>
    <w:rsid w:val="6EE74FF8"/>
    <w:rsid w:val="6FC51340"/>
    <w:rsid w:val="708E036C"/>
    <w:rsid w:val="738A03BD"/>
    <w:rsid w:val="754F0E4C"/>
    <w:rsid w:val="7AC6549F"/>
    <w:rsid w:val="7EC64263"/>
    <w:rsid w:val="7ED06FA1"/>
    <w:rsid w:val="7F4D66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28"/>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sz w:val="24"/>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Lines="0" w:beforeAutospacing="1" w:after="100" w:afterLines="0" w:afterAutospacing="1"/>
      <w:jc w:val="left"/>
    </w:pPr>
    <w:rPr>
      <w:rFonts w:ascii="宋体" w:hAnsi="宋体"/>
      <w:kern w:val="0"/>
      <w:sz w:val="24"/>
    </w:rPr>
  </w:style>
  <w:style w:type="character" w:styleId="8">
    <w:name w:val="Strong"/>
    <w:basedOn w:val="7"/>
    <w:qFormat/>
    <w:uiPriority w:val="0"/>
    <w:rPr>
      <w:b/>
    </w:rPr>
  </w:style>
  <w:style w:type="paragraph" w:styleId="9">
    <w:name w:val="List Paragraph"/>
    <w:basedOn w:val="1"/>
    <w:qFormat/>
    <w:uiPriority w:val="99"/>
    <w:pPr>
      <w:ind w:firstLine="420" w:firstLineChars="200"/>
    </w:pPr>
  </w:style>
  <w:style w:type="paragraph" w:customStyle="1" w:styleId="10">
    <w:name w:val="BodyText1I"/>
    <w:basedOn w:val="11"/>
    <w:qFormat/>
    <w:uiPriority w:val="0"/>
    <w:pPr>
      <w:spacing w:after="120"/>
      <w:ind w:firstLine="420" w:firstLineChars="100"/>
      <w:jc w:val="both"/>
      <w:textAlignment w:val="baseline"/>
    </w:pPr>
    <w:rPr>
      <w:szCs w:val="24"/>
    </w:rPr>
  </w:style>
  <w:style w:type="paragraph" w:customStyle="1" w:styleId="11">
    <w:name w:val="BodyText"/>
    <w:basedOn w:val="1"/>
    <w:next w:val="10"/>
    <w:qFormat/>
    <w:uiPriority w:val="0"/>
    <w:pPr>
      <w:spacing w:after="120"/>
      <w:jc w:val="both"/>
      <w:textAlignment w:val="baseline"/>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4478</Words>
  <Characters>4759</Characters>
  <Lines>0</Lines>
  <Paragraphs>0</Paragraphs>
  <TotalTime>2</TotalTime>
  <ScaleCrop>false</ScaleCrop>
  <LinksUpToDate>false</LinksUpToDate>
  <CharactersWithSpaces>4760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2021-02-20T01:14:00Z</dcterms:created>
  <dc:creator>圆规</dc:creator>
  <cp:lastModifiedBy>圆规</cp:lastModifiedBy>
  <dcterms:modified xsi:type="dcterms:W3CDTF">2022-08-19T00:37:57Z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692869A9C7F949B5BDDB6479F2FC9F99</vt:lpwstr>
  </property>
</Properties>
</file>