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sz w:val="32"/>
          <w:szCs w:val="32"/>
        </w:rPr>
      </w:pPr>
      <w:bookmarkStart w:id="0" w:name="_GoBack"/>
      <w:bookmarkEnd w:id="0"/>
      <w:r>
        <w:rPr>
          <w:rFonts w:hint="eastAsia" w:ascii="黑体" w:hAnsi="黑体" w:eastAsia="黑体"/>
          <w:sz w:val="32"/>
          <w:szCs w:val="32"/>
        </w:rPr>
        <w:t>2019</w:t>
      </w:r>
      <w:r>
        <w:rPr>
          <w:rFonts w:ascii="黑体" w:hAnsi="黑体" w:eastAsia="黑体"/>
          <w:sz w:val="32"/>
          <w:szCs w:val="32"/>
        </w:rPr>
        <w:t>年度</w:t>
      </w:r>
      <w:r>
        <w:rPr>
          <w:rFonts w:hint="eastAsia" w:ascii="黑体" w:hAnsi="黑体" w:eastAsia="黑体"/>
          <w:sz w:val="32"/>
          <w:szCs w:val="32"/>
          <w:lang w:eastAsia="zh-CN"/>
        </w:rPr>
        <w:t>伍家岭街道整体支出</w:t>
      </w:r>
      <w:r>
        <w:rPr>
          <w:rFonts w:ascii="黑体" w:hAnsi="黑体" w:eastAsia="黑体"/>
          <w:sz w:val="32"/>
          <w:szCs w:val="32"/>
        </w:rPr>
        <w:t>绩效</w:t>
      </w:r>
      <w:r>
        <w:rPr>
          <w:rFonts w:hint="eastAsia" w:ascii="黑体" w:hAnsi="黑体" w:eastAsia="黑体"/>
          <w:sz w:val="32"/>
          <w:szCs w:val="32"/>
        </w:rPr>
        <w:t>自评</w:t>
      </w:r>
      <w:r>
        <w:rPr>
          <w:rFonts w:ascii="黑体" w:hAnsi="黑体" w:eastAsia="黑体"/>
          <w:sz w:val="32"/>
          <w:szCs w:val="32"/>
        </w:rPr>
        <w:t>报告</w:t>
      </w:r>
    </w:p>
    <w:p>
      <w:pPr>
        <w:spacing w:line="540" w:lineRule="exact"/>
        <w:ind w:firstLine="600" w:firstLineChars="200"/>
        <w:jc w:val="left"/>
        <w:rPr>
          <w:rFonts w:hint="eastAsia" w:ascii="黑体" w:hAnsi="黑体" w:eastAsia="黑体"/>
          <w:sz w:val="30"/>
          <w:szCs w:val="30"/>
        </w:rPr>
      </w:pPr>
    </w:p>
    <w:p>
      <w:pPr>
        <w:spacing w:line="540" w:lineRule="exact"/>
        <w:ind w:firstLine="600" w:firstLineChars="200"/>
        <w:jc w:val="left"/>
        <w:rPr>
          <w:rFonts w:eastAsia="黑体"/>
          <w:sz w:val="30"/>
          <w:szCs w:val="30"/>
        </w:rPr>
      </w:pPr>
      <w:r>
        <w:rPr>
          <w:rFonts w:ascii="黑体" w:hAnsi="黑体" w:eastAsia="黑体"/>
          <w:sz w:val="30"/>
          <w:szCs w:val="30"/>
        </w:rPr>
        <w:t>一、</w:t>
      </w:r>
      <w:r>
        <w:rPr>
          <w:rFonts w:hint="eastAsia" w:ascii="黑体" w:hAnsi="黑体" w:eastAsia="黑体"/>
          <w:sz w:val="30"/>
          <w:szCs w:val="30"/>
          <w:lang w:eastAsia="zh-CN"/>
        </w:rPr>
        <w:t>整体支出</w:t>
      </w:r>
      <w:r>
        <w:rPr>
          <w:rFonts w:ascii="黑体" w:hAnsi="黑体" w:eastAsia="黑体"/>
          <w:sz w:val="30"/>
          <w:szCs w:val="30"/>
        </w:rPr>
        <w:t>概况</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按照开财发【</w:t>
      </w:r>
      <w:r>
        <w:rPr>
          <w:rFonts w:hint="eastAsia" w:ascii="仿宋_GB2312" w:hAnsi="仿宋_GB2312" w:eastAsia="仿宋_GB2312" w:cs="仿宋_GB2312"/>
          <w:sz w:val="30"/>
          <w:szCs w:val="30"/>
          <w:lang w:val="en-US" w:eastAsia="zh-CN"/>
        </w:rPr>
        <w:t>2018】36号长沙市开福区财政局印发《2019年度街道部门预算编制工作方案》的通知、开财发【2019】1号关于下达2019年部门预算的通知的要求，参照区2019年度街镇绩效考核目标管理任务指数和开福区街镇财务项目资金管理办法，合理安排项目资金，编制2019年度项目支出绩效目标表，涵盖社会管理、城市管理、公共服务、经济发展、其他事务5方面内容：</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社会管理主要用于普法宣传、文体、党建、综治信访维稳、提质提档、党建专干奖金、老干工作、社区矫正、刑释帮教、人防工程维护、远教运行经费、党员培训、民兵预备役训练、纪检、流口和巡防队员工资及保险、社区党员教育、立法基层联系点、法律援助、档案、武装部、邻里中心、先锋工作室、人民调解、团委、妇联、统战、工商联、群工、教育、征兵等工作开支。</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城市管理主要涉及数字化工作、城管协管员工资及社保、城管协管员岗位津贴及考核奖励、文明创建、防汛防旱、安全生产、节能环保、广告招牌整治、迎检经费、城管中队经费、日常整治及拆违控违、食品安全、历史工程款支付、爱卫、突发事件经费、户外公益活动、清扫经费及清洗车维护、应急物资、提质改造、应急处突分队建设、红袖章工资、安全教育、河长制工作、餐厨垃圾整治、垃圾清运、宣传板报制作等工作开支。</w:t>
      </w:r>
    </w:p>
    <w:p>
      <w:pPr>
        <w:numPr>
          <w:ilvl w:val="0"/>
          <w:numId w:val="1"/>
        </w:num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公共服务主要用于12345热线、社区工作经费、计生协会经费、退役军人慰问、社区计生经费、卫计法监工作经费、计生迎检考核经费、政务中心全岗通、网格化管理服务宣传及阵地建设、招聘会、网上政务、计划生育政策落实、春节慰问、两保站人员工资、残疾人补助、红十字会经费、居家养老上门服务、计生奖励经费、退役军人工资及社保、临时救助、帮代办政务、高龄补贴、优抚优待补贴、妇幼健康工作、流动人口管理、计生培训宣传教育、就业培训、计生保险、疾控等工作开支。</w:t>
      </w:r>
    </w:p>
    <w:p>
      <w:pPr>
        <w:numPr>
          <w:ilvl w:val="0"/>
          <w:numId w:val="1"/>
        </w:num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经济发展主要用于招商引资及产业发展、财源建设、金融、打非工作、两型工作、处遗工作、财政所标准化建设、统计、科普、企业社会化职能分离、经济普查、重点项目建设等工作开支。</w:t>
      </w:r>
    </w:p>
    <w:p>
      <w:pPr>
        <w:numPr>
          <w:ilvl w:val="0"/>
          <w:numId w:val="1"/>
        </w:num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其他事务主要用于社区退休人员经费、街道预留不可预估费用等方面。</w:t>
      </w:r>
    </w:p>
    <w:p>
      <w:pPr>
        <w:numPr>
          <w:ilvl w:val="0"/>
          <w:numId w:val="0"/>
        </w:num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编制2019年度整体支出绩效目标表，预期实现4大部门产出指标。</w:t>
      </w:r>
    </w:p>
    <w:p>
      <w:pPr>
        <w:numPr>
          <w:ilvl w:val="0"/>
          <w:numId w:val="2"/>
        </w:num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质量指标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保障街道</w:t>
      </w:r>
      <w:r>
        <w:rPr>
          <w:rFonts w:hint="eastAsia" w:ascii="仿宋_GB2312" w:hAnsi="仿宋_GB2312" w:eastAsia="仿宋_GB2312" w:cs="仿宋_GB2312"/>
          <w:sz w:val="30"/>
          <w:szCs w:val="30"/>
          <w:lang w:eastAsia="zh-CN"/>
        </w:rPr>
        <w:t>正常运转，</w:t>
      </w:r>
      <w:r>
        <w:rPr>
          <w:rFonts w:hint="eastAsia" w:ascii="仿宋_GB2312" w:hAnsi="仿宋_GB2312" w:eastAsia="仿宋_GB2312" w:cs="仿宋_GB2312"/>
          <w:sz w:val="30"/>
          <w:szCs w:val="30"/>
        </w:rPr>
        <w:t>确保各项工作任务顺利完成；</w:t>
      </w:r>
    </w:p>
    <w:p>
      <w:pPr>
        <w:numPr>
          <w:ilvl w:val="0"/>
          <w:numId w:val="2"/>
        </w:numPr>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时效指标：</w:t>
      </w:r>
      <w:r>
        <w:rPr>
          <w:rFonts w:hint="eastAsia" w:ascii="仿宋_GB2312" w:hAnsi="仿宋_GB2312" w:eastAsia="仿宋_GB2312" w:cs="仿宋_GB2312"/>
          <w:sz w:val="30"/>
          <w:szCs w:val="30"/>
          <w:lang w:val="en-US" w:eastAsia="zh-CN"/>
        </w:rPr>
        <w:t>2019</w:t>
      </w:r>
      <w:r>
        <w:rPr>
          <w:rFonts w:hint="eastAsia" w:ascii="仿宋_GB2312" w:hAnsi="仿宋_GB2312" w:eastAsia="仿宋_GB2312" w:cs="仿宋_GB2312"/>
          <w:sz w:val="30"/>
          <w:szCs w:val="30"/>
        </w:rPr>
        <w:t>年年底完成所有任务目标；</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3、成本指标：严格控制预算，</w:t>
      </w:r>
      <w:r>
        <w:rPr>
          <w:rFonts w:hint="eastAsia" w:ascii="仿宋_GB2312" w:hAnsi="仿宋_GB2312" w:eastAsia="仿宋_GB2312" w:cs="仿宋_GB2312"/>
          <w:sz w:val="30"/>
          <w:szCs w:val="30"/>
          <w:lang w:val="en-US" w:eastAsia="zh-CN"/>
        </w:rPr>
        <w:t>根据决算要求做到一般性支出缩减10%；</w:t>
      </w:r>
    </w:p>
    <w:p>
      <w:pPr>
        <w:spacing w:line="54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4、数量指标：</w:t>
      </w:r>
      <w:r>
        <w:rPr>
          <w:rFonts w:hint="eastAsia" w:ascii="仿宋_GB2312" w:hAnsi="仿宋_GB2312" w:eastAsia="仿宋_GB2312" w:cs="仿宋_GB2312"/>
          <w:sz w:val="30"/>
          <w:szCs w:val="30"/>
          <w:lang w:val="en-US" w:eastAsia="zh-CN"/>
        </w:rPr>
        <w:t>重点工作办结率达100%，政府采购执行率95%，部门整体支出支付进度合理。</w:t>
      </w:r>
    </w:p>
    <w:p>
      <w:pPr>
        <w:spacing w:line="54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同时实现4大部门效益指标。</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1、社会公众及服务对象满意度：持续改善和保障民生工作，不断增强居民群众的获得感、幸福感和满意度；</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2、经济效益指标：持续优化政务服务和营商环境，用心帮扶服务企业，推进我街道经济发展实现量质齐升；</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3、社会效益指标：坚决贯彻落实区委区政府部署要求，统筹抓好城市管理、安全生产、公共服务、基层党建、文明创建、社会治理等各项工作，营造良好生产生活环境；</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4、生态效益指标：坚持新发展理念，统筹兼顾抓好经济发展和生态环境保护，实现高质量、可持续发展。</w:t>
      </w:r>
    </w:p>
    <w:p>
      <w:pPr>
        <w:spacing w:line="540" w:lineRule="exact"/>
        <w:ind w:firstLine="600" w:firstLineChars="200"/>
        <w:jc w:val="left"/>
        <w:rPr>
          <w:rFonts w:hint="eastAsia" w:ascii="宋体" w:hAnsi="宋体" w:cs="宋体"/>
          <w:sz w:val="30"/>
          <w:szCs w:val="30"/>
        </w:rPr>
      </w:pPr>
      <w:r>
        <w:rPr>
          <w:rFonts w:ascii="黑体" w:hAnsi="黑体" w:eastAsia="黑体"/>
          <w:sz w:val="30"/>
          <w:szCs w:val="30"/>
        </w:rPr>
        <w:t>二、</w:t>
      </w:r>
      <w:r>
        <w:rPr>
          <w:rFonts w:hint="eastAsia" w:ascii="黑体" w:hAnsi="黑体" w:eastAsia="黑体"/>
          <w:sz w:val="30"/>
          <w:szCs w:val="30"/>
          <w:lang w:eastAsia="zh-CN"/>
        </w:rPr>
        <w:t>整体支出资金</w:t>
      </w:r>
      <w:r>
        <w:rPr>
          <w:rFonts w:ascii="黑体" w:hAnsi="黑体" w:eastAsia="黑体"/>
          <w:sz w:val="30"/>
          <w:szCs w:val="30"/>
        </w:rPr>
        <w:t>使用及管理情况</w:t>
      </w:r>
    </w:p>
    <w:p>
      <w:pPr>
        <w:spacing w:line="540" w:lineRule="exact"/>
        <w:ind w:firstLine="600" w:firstLineChars="200"/>
        <w:jc w:val="left"/>
        <w:rPr>
          <w:rFonts w:ascii="黑体" w:hAnsi="黑体" w:eastAsia="黑体"/>
          <w:sz w:val="30"/>
          <w:szCs w:val="30"/>
        </w:rPr>
      </w:pPr>
      <w:r>
        <w:rPr>
          <w:rFonts w:hint="eastAsia" w:ascii="仿宋_GB2312" w:hAnsi="仿宋_GB2312" w:eastAsia="仿宋_GB2312" w:cs="仿宋_GB2312"/>
          <w:sz w:val="30"/>
          <w:szCs w:val="30"/>
          <w:lang w:eastAsia="zh-CN"/>
        </w:rPr>
        <w:t>本年度整体支出决算金额为</w:t>
      </w:r>
      <w:r>
        <w:rPr>
          <w:rFonts w:hint="eastAsia" w:ascii="仿宋" w:hAnsi="仿宋" w:eastAsia="仿宋"/>
          <w:color w:val="auto"/>
          <w:sz w:val="32"/>
          <w:szCs w:val="22"/>
          <w:lang w:val="en-US" w:eastAsia="zh-CN"/>
        </w:rPr>
        <w:t>6237.14</w:t>
      </w:r>
      <w:r>
        <w:rPr>
          <w:rFonts w:hint="eastAsia" w:ascii="仿宋_GB2312" w:hAnsi="仿宋_GB2312" w:eastAsia="仿宋_GB2312" w:cs="仿宋_GB2312"/>
          <w:sz w:val="30"/>
          <w:szCs w:val="30"/>
          <w:lang w:val="en-US" w:eastAsia="zh-CN"/>
        </w:rPr>
        <w:t>万元，其中一般公共服务支出3614.82万元，公共安全支出40.95万元，科学技术支出5万元，文化旅游体育与传媒支出7万元，社会保障和就业支出1741.6万元，卫生健康支出31.91万元，节能环保支出0.65万元，城乡社区支出598.72万元，农林水支出103.78万元，资源勘探信息等支出10万元，住房保障支出27.29万元，灾害防治及应急管理支出55.42万元。按照开福区街镇财务项目资金管理办法和伍家岭街道财经管理及审批制度，合法、合理、合规、高效的安排各项资金支出并及时编制公开部门预决算信息。</w:t>
      </w:r>
    </w:p>
    <w:p>
      <w:pPr>
        <w:spacing w:line="540" w:lineRule="exact"/>
        <w:ind w:firstLine="600" w:firstLineChars="200"/>
        <w:jc w:val="left"/>
        <w:rPr>
          <w:rFonts w:hint="default" w:eastAsia="黑体"/>
          <w:sz w:val="30"/>
          <w:szCs w:val="30"/>
          <w:lang w:val="en-US" w:eastAsia="zh-CN"/>
        </w:rPr>
      </w:pPr>
      <w:r>
        <w:rPr>
          <w:rFonts w:ascii="黑体" w:hAnsi="黑体" w:eastAsia="黑体"/>
          <w:sz w:val="30"/>
          <w:szCs w:val="30"/>
        </w:rPr>
        <w:t>三、</w:t>
      </w:r>
      <w:r>
        <w:rPr>
          <w:rFonts w:hint="eastAsia" w:ascii="黑体" w:hAnsi="黑体" w:eastAsia="黑体"/>
          <w:sz w:val="30"/>
          <w:szCs w:val="30"/>
          <w:lang w:val="en-US" w:eastAsia="zh-CN"/>
        </w:rPr>
        <w:t>2019年绩效目标完成情况</w:t>
      </w:r>
    </w:p>
    <w:p>
      <w:pPr>
        <w:spacing w:line="540" w:lineRule="exact"/>
        <w:ind w:firstLine="600" w:firstLineChars="200"/>
        <w:jc w:val="left"/>
        <w:rPr>
          <w:rFonts w:hint="eastAsia" w:ascii="仿宋_GB2312" w:hAnsi="仿宋_GB2312" w:eastAsiaTheme="minorEastAsia"/>
          <w:sz w:val="30"/>
          <w:szCs w:val="30"/>
        </w:rPr>
      </w:pPr>
      <w:r>
        <w:rPr>
          <w:rFonts w:ascii="仿宋_GB2312" w:hAnsi="仿宋_GB2312" w:eastAsia="仿宋_GB2312"/>
          <w:sz w:val="30"/>
          <w:szCs w:val="30"/>
        </w:rPr>
        <w:t>针对</w:t>
      </w:r>
      <w:r>
        <w:rPr>
          <w:rFonts w:hint="eastAsia" w:ascii="仿宋_GB2312" w:hAnsi="仿宋_GB2312" w:eastAsia="仿宋_GB2312"/>
          <w:sz w:val="30"/>
          <w:szCs w:val="30"/>
          <w:lang w:eastAsia="zh-CN"/>
        </w:rPr>
        <w:t>整体支出</w:t>
      </w:r>
      <w:r>
        <w:rPr>
          <w:rFonts w:ascii="仿宋_GB2312" w:hAnsi="仿宋_GB2312" w:eastAsia="仿宋_GB2312"/>
          <w:sz w:val="30"/>
          <w:szCs w:val="30"/>
        </w:rPr>
        <w:t>的实际特点，根据</w:t>
      </w:r>
      <w:r>
        <w:rPr>
          <w:rFonts w:hint="eastAsia" w:ascii="仿宋_GB2312" w:hAnsi="仿宋_GB2312" w:eastAsia="仿宋_GB2312"/>
          <w:sz w:val="30"/>
          <w:szCs w:val="30"/>
          <w:lang w:eastAsia="zh-CN"/>
        </w:rPr>
        <w:t>年初既定的</w:t>
      </w:r>
      <w:r>
        <w:rPr>
          <w:rFonts w:ascii="仿宋_GB2312" w:hAnsi="仿宋_GB2312" w:eastAsia="仿宋_GB2312"/>
          <w:sz w:val="30"/>
          <w:szCs w:val="30"/>
        </w:rPr>
        <w:t>工作</w:t>
      </w:r>
      <w:r>
        <w:rPr>
          <w:rFonts w:hint="eastAsia" w:ascii="仿宋_GB2312" w:hAnsi="仿宋_GB2312" w:eastAsia="仿宋_GB2312"/>
          <w:sz w:val="30"/>
          <w:szCs w:val="30"/>
          <w:lang w:eastAsia="zh-CN"/>
        </w:rPr>
        <w:t>目标</w:t>
      </w:r>
      <w:r>
        <w:rPr>
          <w:rFonts w:ascii="仿宋_GB2312" w:hAnsi="仿宋_GB2312" w:eastAsia="仿宋_GB2312"/>
          <w:sz w:val="30"/>
          <w:szCs w:val="30"/>
        </w:rPr>
        <w:t>，</w:t>
      </w:r>
      <w:r>
        <w:rPr>
          <w:rFonts w:hint="eastAsia" w:ascii="仿宋_GB2312" w:hAnsi="仿宋_GB2312" w:eastAsia="仿宋_GB2312"/>
          <w:sz w:val="30"/>
          <w:szCs w:val="30"/>
        </w:rPr>
        <w:t>2019年</w:t>
      </w:r>
      <w:r>
        <w:rPr>
          <w:rFonts w:ascii="仿宋_GB2312" w:hAnsi="仿宋_GB2312" w:eastAsia="仿宋_GB2312"/>
          <w:sz w:val="30"/>
          <w:szCs w:val="30"/>
        </w:rPr>
        <w:t>我</w:t>
      </w:r>
      <w:r>
        <w:rPr>
          <w:rFonts w:hint="eastAsia" w:ascii="仿宋_GB2312" w:hAnsi="仿宋_GB2312" w:eastAsia="仿宋_GB2312"/>
          <w:sz w:val="30"/>
          <w:szCs w:val="30"/>
          <w:lang w:eastAsia="zh-CN"/>
        </w:rPr>
        <w:t>单位</w:t>
      </w:r>
      <w:r>
        <w:rPr>
          <w:rFonts w:hint="eastAsia" w:ascii="仿宋_GB2312" w:hAnsi="仿宋_GB2312" w:eastAsia="仿宋_GB2312"/>
          <w:sz w:val="30"/>
          <w:szCs w:val="30"/>
        </w:rPr>
        <w:t>开展了以下工作，并达成</w:t>
      </w:r>
      <w:r>
        <w:rPr>
          <w:rFonts w:ascii="仿宋_GB2312" w:hAnsi="仿宋_GB2312" w:eastAsia="仿宋_GB2312"/>
          <w:sz w:val="30"/>
          <w:szCs w:val="30"/>
        </w:rPr>
        <w:t>了</w:t>
      </w:r>
      <w:r>
        <w:rPr>
          <w:rFonts w:hint="eastAsia" w:ascii="仿宋_GB2312" w:hAnsi="仿宋_GB2312" w:eastAsia="仿宋_GB2312"/>
          <w:sz w:val="30"/>
          <w:szCs w:val="30"/>
        </w:rPr>
        <w:t>以下</w:t>
      </w:r>
      <w:r>
        <w:rPr>
          <w:rFonts w:ascii="仿宋_GB2312" w:hAnsi="仿宋_GB2312" w:eastAsia="仿宋_GB2312"/>
          <w:sz w:val="30"/>
          <w:szCs w:val="30"/>
        </w:rPr>
        <w:t>绩效目标</w:t>
      </w:r>
      <w:r>
        <w:rPr>
          <w:rFonts w:hint="eastAsia" w:ascii="仿宋_GB2312" w:hAnsi="仿宋_GB2312" w:eastAsiaTheme="minorEastAsia"/>
          <w:sz w:val="30"/>
          <w:szCs w:val="30"/>
        </w:rPr>
        <w:t>：</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紧扣</w:t>
      </w:r>
      <w:r>
        <w:rPr>
          <w:rFonts w:hint="default" w:ascii="Times New Roman" w:hAnsi="Times New Roman" w:eastAsia="黑体" w:cs="Times New Roman"/>
          <w:color w:val="000000" w:themeColor="text1"/>
          <w:sz w:val="32"/>
          <w:szCs w:val="32"/>
          <w14:textFill>
            <w14:solidFill>
              <w14:schemeClr w14:val="tx1"/>
            </w14:solidFill>
          </w14:textFill>
        </w:rPr>
        <w:t>“精明精细”管理理念，街区环境在建管并重中</w:t>
      </w:r>
      <w:r>
        <w:rPr>
          <w:rFonts w:hint="default" w:ascii="Times New Roman" w:hAnsi="Times New Roman" w:eastAsia="黑体" w:cs="Times New Roman"/>
          <w:color w:val="000000" w:themeColor="text1"/>
          <w:sz w:val="32"/>
          <w:szCs w:val="32"/>
          <w:lang w:eastAsia="zh-CN"/>
          <w14:textFill>
            <w14:solidFill>
              <w14:schemeClr w14:val="tx1"/>
            </w14:solidFill>
          </w14:textFill>
        </w:rPr>
        <w:t>彰显新品位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一是坚持“精明增长”，街区环境更加</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宜居宜业</w:t>
      </w:r>
      <w:r>
        <w:rPr>
          <w:rFonts w:hint="default" w:ascii="Times New Roman" w:hAnsi="Times New Roman" w:eastAsia="楷体"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坚决打好蓝天、碧水、净土保卫战，开展常态巡查及专项执法行动280次，增设餐饮单位油烟净化器16家，提质改造小餐饮“透明厨房”52家，覆盖环保网5.7万平方米；常态化开展河滩保洁，巡河177次，环境污染得到有效管控。从青少年抓起，从细节处着手，以活动为载体，提升居民素养、城市形象。圆满完成文明创建迎国检任务，代表长沙市顺利迎接中央文明委入户调查，得到上级领导和检查组一致好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二是坚持“精细管理”，街区形象更加</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精致</w:t>
      </w:r>
      <w:r>
        <w:rPr>
          <w:rFonts w:hint="default" w:ascii="Times New Roman" w:hAnsi="Times New Roman" w:eastAsia="楷体" w:cs="Times New Roman"/>
          <w:b/>
          <w:bCs/>
          <w:color w:val="000000" w:themeColor="text1"/>
          <w:sz w:val="32"/>
          <w:szCs w:val="32"/>
          <w14:textFill>
            <w14:solidFill>
              <w14:schemeClr w14:val="tx1"/>
            </w14:solidFill>
          </w14:textFill>
        </w:rPr>
        <w:t>精美。</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不断提升街区净化、序化、绿化、亮化、美化水平，开展店外经营、户外广告等专项整治行动180余次，行政处罚229起，拆除违建510平、招牌190余块。全面推进垃圾分类工作，入户宣传3万余户，居民知晓率超90%，建成四分类投放点106个、两分类投放点174个、大件及家装垃圾暂存点31个，16个小区约1万户居民实现常态化垃圾干湿分离、定时清运。石油厂宿舍“4+2”分类模式被省市区多家媒体宣传推介。</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zh-CN"/>
          <w14:textFill>
            <w14:solidFill>
              <w14:schemeClr w14:val="tx1"/>
            </w14:solidFill>
          </w14:textFill>
        </w:rPr>
        <w:t>紧扣“以人民为中心”发展思想，治理服务在务实创新中更加优质高效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bCs/>
          <w:color w:val="000000" w:themeColor="text1"/>
          <w:sz w:val="32"/>
          <w:szCs w:val="32"/>
          <w:lang w:val="zh-CN"/>
          <w14:textFill>
            <w14:solidFill>
              <w14:schemeClr w14:val="tx1"/>
            </w14:solidFill>
          </w14:textFill>
        </w:rPr>
        <w:t>一是公共服务提质增效。</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做实做优“365天不打烊”、社区“全岗通”、“岭哥岭姐帮代办”等便民服务；认真落实“城市特殊困难群体帮扶活动”、低保、高龄津贴、残疾人两项补贴等民生政策；用心推进“一圈两场三道”建设，加强提质改造和提质提档项目规范管理。街道在区对街农贸市场季度考核中，连续第二、三季度排名第二；社区提质提档工作被评为长沙市典型案例，并将作为长沙市唯一街道代表在全市进行经验推介发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二是基层治理持续巩固。</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夯实网格化管理，落实“街道吹哨、部门报到”工作机制，全力抓好安全生产、信访维稳、扫黑除恶专项斗争、食安创建、禁毒、物业管理等工作，全年未发生重大安全生产事故、重大群体性事件，社会大局和谐稳定。浏阳河社区“优秀工作法”被评为长沙市城乡社区治理服务创新品牌。率先成立街道退役军人服务站，做好退役军人信访接待、就业创业扶持、权益保障等工作，两次代表开福区迎接国家退役军人事务部领导调研并获高度评价。</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lang w:val="zh-CN"/>
          <w14:textFill>
            <w14:solidFill>
              <w14:schemeClr w14:val="tx1"/>
            </w14:solidFill>
          </w14:textFill>
        </w:rPr>
      </w:pPr>
      <w:r>
        <w:rPr>
          <w:rFonts w:hint="default" w:ascii="Times New Roman" w:hAnsi="Times New Roman" w:eastAsia="黑体" w:cs="Times New Roman"/>
          <w:color w:val="000000" w:themeColor="text1"/>
          <w:sz w:val="32"/>
          <w:szCs w:val="32"/>
          <w:lang w:val="zh-CN"/>
          <w14:textFill>
            <w14:solidFill>
              <w14:schemeClr w14:val="tx1"/>
            </w14:solidFill>
          </w14:textFill>
        </w:rPr>
        <w:t>紧扣“全面从严治党”发展要求，基层组织在严实管理中更加坚强有力</w:t>
      </w:r>
    </w:p>
    <w:p>
      <w:pPr>
        <w:keepNext w:val="0"/>
        <w:keepLines w:val="0"/>
        <w:pageBreakBefore w:val="0"/>
        <w:kinsoku/>
        <w:wordWrap/>
        <w:overflowPunct/>
        <w:topLinePunct w:val="0"/>
        <w:autoSpaceDE/>
        <w:autoSpaceDN/>
        <w:bidi w:val="0"/>
        <w:adjustRightInd/>
        <w:snapToGrid/>
        <w:spacing w:line="560" w:lineRule="exact"/>
        <w:ind w:firstLine="622"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color w:val="000000" w:themeColor="text1"/>
          <w:kern w:val="0"/>
          <w:sz w:val="31"/>
          <w:szCs w:val="31"/>
          <w:lang w:val="zh-CN"/>
          <w14:textFill>
            <w14:solidFill>
              <w14:schemeClr w14:val="tx1"/>
            </w14:solidFill>
          </w14:textFill>
        </w:rPr>
        <w:t>一是</w:t>
      </w:r>
      <w:r>
        <w:rPr>
          <w:rFonts w:hint="default" w:ascii="Times New Roman" w:hAnsi="Times New Roman" w:eastAsia="楷体" w:cs="Times New Roman"/>
          <w:b/>
          <w:color w:val="000000" w:themeColor="text1"/>
          <w:kern w:val="0"/>
          <w:sz w:val="31"/>
          <w:szCs w:val="31"/>
          <w14:textFill>
            <w14:solidFill>
              <w14:schemeClr w14:val="tx1"/>
            </w14:solidFill>
          </w14:textFill>
        </w:rPr>
        <w:t>党建内涵不断充实</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积极探索“党建带工建、党工共建”的一体化发展模式，打造华创商圈党群服务中心、工会联合会等商业楼宇服务品牌，华创楼宇工会联合会被评为长沙市典型楼宇工会，街道代表开福区在全市基层工会经验交流会上作典型发言；整合小区和楼宇的社区用房、物业用房等资源，推广做实“党员先锋工作室”、小区“邻里中心”等一批内容丰富、贴近民生的党建特色品牌项目，不断拓展城市基层党建载体和内涵，将党的工作延伸到群众家门口、心坎上，群众满意度和幸福感大大提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22"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color w:val="000000" w:themeColor="text1"/>
          <w:sz w:val="31"/>
          <w:szCs w:val="31"/>
          <w14:textFill>
            <w14:solidFill>
              <w14:schemeClr w14:val="tx1"/>
            </w14:solidFill>
          </w14:textFill>
        </w:rPr>
        <w:t>二是基层基础更加夯实。</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扎实开展“不忘初心、牢记使命”主题教育，通过讲党课、研讨会、大调研等活动，学懂弄通做实习近平新时代中国特色社会主义思想，牢牢掌握意识形态主动权。80%以上党支部完成“五化”建设，呈现“指导有专人、学习有标杆、建设有氛围”的良好态势。持续深化党风廉政建设，全面压实“两个责任”，切实履行“一岗双责”，突出问题整改，</w:t>
      </w:r>
      <w:r>
        <w:rPr>
          <w:rFonts w:hint="eastAsia" w:eastAsia="仿宋_GB2312" w:cs="Times New Roman"/>
          <w:color w:val="000000" w:themeColor="text1"/>
          <w:kern w:val="2"/>
          <w:sz w:val="32"/>
          <w:szCs w:val="32"/>
          <w:lang w:val="en-US" w:eastAsia="zh-CN" w:bidi="ar-SA"/>
          <w14:textFill>
            <w14:solidFill>
              <w14:schemeClr w14:val="tx1"/>
            </w14:solidFill>
          </w14:textFill>
        </w:rPr>
        <w:t>严格</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执纪问责，强化日常督查督办，全年开展</w:t>
      </w:r>
      <w:r>
        <w:rPr>
          <w:rFonts w:hint="default" w:ascii="Times New Roman" w:hAnsi="Times New Roman" w:eastAsia="仿宋_GB2312" w:cs="Times New Roman"/>
          <w:b w:val="0"/>
          <w:bCs/>
          <w:sz w:val="32"/>
          <w:szCs w:val="32"/>
          <w:lang w:val="en-US" w:eastAsia="zh-CN"/>
        </w:rPr>
        <w:t>“</w:t>
      </w:r>
      <w:r>
        <w:rPr>
          <w:rFonts w:hint="eastAsia" w:ascii="仿宋_GB2312" w:hAnsi="仿宋_GB2312" w:eastAsia="仿宋_GB2312" w:cs="仿宋_GB2312"/>
          <w:b w:val="0"/>
          <w:bCs/>
          <w:sz w:val="32"/>
          <w:szCs w:val="32"/>
          <w:lang w:val="en-US" w:eastAsia="zh-CN"/>
        </w:rPr>
        <w:t>群众身边腐败和作风问题</w:t>
      </w:r>
      <w:r>
        <w:rPr>
          <w:rFonts w:hint="default" w:ascii="Times New Roman" w:hAnsi="Times New Roman" w:eastAsia="仿宋_GB2312" w:cs="Times New Roman"/>
          <w:b w:val="0"/>
          <w:bCs/>
          <w:sz w:val="32"/>
          <w:szCs w:val="32"/>
          <w:lang w:val="en-US" w:eastAsia="zh-CN"/>
        </w:rPr>
        <w:t>”等专项整治行动10余次，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办结信访线索17件、违纪违规案件2件，党纪政纪处分2人次，诫勉谈话2人次，批评教育3人次，提醒谈话10人次，廉政谈话65人次，干部作风更加严实。</w:t>
      </w:r>
    </w:p>
    <w:p>
      <w:pPr>
        <w:spacing w:line="54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exact"/>
        <w:ind w:firstLine="600" w:firstLineChars="200"/>
        <w:jc w:val="right"/>
        <w:rPr>
          <w:rFonts w:hint="eastAsia" w:ascii="仿宋_GB2312" w:hAnsi="仿宋_GB2312" w:eastAsia="仿宋_GB2312" w:cs="仿宋_GB2312"/>
          <w:sz w:val="30"/>
          <w:szCs w:val="30"/>
        </w:rPr>
      </w:pPr>
    </w:p>
    <w:p>
      <w:pPr>
        <w:spacing w:line="540" w:lineRule="exact"/>
        <w:ind w:firstLine="600" w:firstLineChars="200"/>
        <w:jc w:val="righ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开福区</w:t>
      </w:r>
      <w:r>
        <w:rPr>
          <w:rFonts w:hint="eastAsia" w:ascii="仿宋_GB2312" w:hAnsi="仿宋_GB2312" w:eastAsia="仿宋_GB2312" w:cs="仿宋_GB2312"/>
          <w:sz w:val="30"/>
          <w:szCs w:val="30"/>
          <w:lang w:val="en-US" w:eastAsia="zh-CN"/>
        </w:rPr>
        <w:t>伍家岭</w:t>
      </w:r>
      <w:r>
        <w:rPr>
          <w:rFonts w:hint="eastAsia" w:ascii="仿宋_GB2312" w:hAnsi="仿宋_GB2312" w:eastAsia="仿宋_GB2312" w:cs="仿宋_GB2312"/>
          <w:sz w:val="30"/>
          <w:szCs w:val="30"/>
          <w:lang w:eastAsia="zh-CN"/>
        </w:rPr>
        <w:t>街道办事处</w:t>
      </w:r>
    </w:p>
    <w:p>
      <w:pPr>
        <w:spacing w:line="540" w:lineRule="exact"/>
        <w:ind w:firstLine="600" w:firstLineChars="200"/>
        <w:jc w:val="righ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2020</w:t>
      </w:r>
      <w:r>
        <w:rPr>
          <w:rFonts w:hint="eastAsia" w:ascii="仿宋_GB2312" w:hAnsi="仿宋_GB2312" w:eastAsia="仿宋_GB2312" w:cs="仿宋_GB2312"/>
          <w:sz w:val="30"/>
          <w:szCs w:val="30"/>
          <w:lang w:eastAsia="zh-CN"/>
        </w:rPr>
        <w:t xml:space="preserve">年 </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15</w:t>
      </w:r>
      <w:r>
        <w:rPr>
          <w:rFonts w:hint="eastAsia" w:ascii="仿宋_GB2312" w:hAnsi="仿宋_GB2312" w:eastAsia="仿宋_GB2312" w:cs="仿宋_GB2312"/>
          <w:sz w:val="30"/>
          <w:szCs w:val="30"/>
          <w:lang w:eastAsia="zh-CN"/>
        </w:rPr>
        <w:t>日</w:t>
      </w:r>
    </w:p>
    <w:p>
      <w:pPr>
        <w:jc w:val="right"/>
      </w:pPr>
    </w:p>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2FC9B"/>
    <w:multiLevelType w:val="singleLevel"/>
    <w:tmpl w:val="9A22FC9B"/>
    <w:lvl w:ilvl="0" w:tentative="0">
      <w:start w:val="1"/>
      <w:numFmt w:val="decimal"/>
      <w:suff w:val="nothing"/>
      <w:lvlText w:val="%1、"/>
      <w:lvlJc w:val="left"/>
    </w:lvl>
  </w:abstractNum>
  <w:abstractNum w:abstractNumId="1">
    <w:nsid w:val="00000000"/>
    <w:multiLevelType w:val="singleLevel"/>
    <w:tmpl w:val="00000000"/>
    <w:lvl w:ilvl="0" w:tentative="0">
      <w:start w:val="1"/>
      <w:numFmt w:val="chineseCounting"/>
      <w:suff w:val="nothing"/>
      <w:lvlText w:val="%1、"/>
      <w:lvlJc w:val="left"/>
      <w:rPr>
        <w:rFonts w:hint="eastAsia"/>
      </w:rPr>
    </w:lvl>
  </w:abstractNum>
  <w:abstractNum w:abstractNumId="2">
    <w:nsid w:val="42C69A6F"/>
    <w:multiLevelType w:val="singleLevel"/>
    <w:tmpl w:val="42C69A6F"/>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23B2F"/>
    <w:rsid w:val="28823B2F"/>
    <w:rsid w:val="5815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2020-09-28T07:54:00Z</dcterms:created>
  <dc:creator>圆规</dc:creator>
  <cp:lastModifiedBy>圆规</cp:lastModifiedBy>
  <dcterms:modified xsi:type="dcterms:W3CDTF">2020-09-30T03:02:12Z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