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eastAsia="方正小标宋_GBK"/>
          <w:bCs/>
          <w:kern w:val="0"/>
          <w:sz w:val="44"/>
          <w:szCs w:val="44"/>
        </w:rPr>
      </w:pPr>
      <w:r>
        <w:rPr>
          <w:rFonts w:hint="eastAsia" w:ascii="黑体" w:hAnsi="黑体" w:eastAsia="黑体" w:cs="黑体"/>
          <w:bCs/>
          <w:kern w:val="0"/>
          <w:sz w:val="48"/>
          <w:szCs w:val="48"/>
        </w:rPr>
        <w:t>2020年长沙市开福区芙蓉北路街道办事处部门决算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楷体_GB2312"/>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kinsoku/>
        <w:wordWrap/>
        <w:overflowPunct/>
        <w:topLinePunct w:val="0"/>
        <w:bidi w:val="0"/>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第一部分 长沙市开福区芙蓉北路街道办事处部门概况</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一、部门职责</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二、收入决算表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四、财政拨款收入支出决算总表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第三部分 2020年度部门决算情况说明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二、收入决算情况说明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八、政府性基金预算收入支出决算情况</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九、关于2020年度预算绩效情况的说明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720" w:firstLineChars="200"/>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720" w:firstLineChars="200"/>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eastAsia="方正小标宋_GBK"/>
          <w:bCs/>
          <w:kern w:val="0"/>
          <w:sz w:val="44"/>
          <w:szCs w:val="44"/>
        </w:rPr>
      </w:pPr>
      <w:r>
        <w:rPr>
          <w:rFonts w:hint="eastAsia" w:ascii="黑体" w:hAnsi="黑体" w:eastAsia="黑体" w:cs="黑体"/>
          <w:b/>
          <w:kern w:val="0"/>
          <w:sz w:val="44"/>
          <w:szCs w:val="44"/>
        </w:rPr>
        <w:t>第一部分 芙蓉北路街道办事处部门概况</w:t>
      </w:r>
    </w:p>
    <w:p>
      <w:pPr>
        <w:pStyle w:val="11"/>
        <w:keepNext w:val="0"/>
        <w:keepLines w:val="0"/>
        <w:pageBreakBefore w:val="0"/>
        <w:kinsoku/>
        <w:wordWrap/>
        <w:overflowPunct/>
        <w:topLinePunct w:val="0"/>
        <w:bidi w:val="0"/>
        <w:snapToGrid/>
        <w:spacing w:line="600" w:lineRule="exact"/>
        <w:ind w:firstLine="640"/>
        <w:jc w:val="left"/>
        <w:textAlignment w:val="auto"/>
        <w:rPr>
          <w:rFonts w:ascii="黑体" w:hAnsi="黑体" w:eastAsia="黑体"/>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ascii="仿宋" w:hAnsi="仿宋" w:eastAsia="仿宋" w:cs="仿宋"/>
          <w:b/>
          <w:kern w:val="0"/>
          <w:sz w:val="32"/>
          <w:szCs w:val="32"/>
        </w:rPr>
      </w:pPr>
      <w:r>
        <w:rPr>
          <w:rFonts w:hint="eastAsia" w:ascii="黑体" w:hAnsi="黑体" w:eastAsia="黑体" w:cs="黑体"/>
          <w:bCs/>
          <w:kern w:val="0"/>
          <w:sz w:val="32"/>
          <w:szCs w:val="32"/>
        </w:rPr>
        <w:t>一、部门职责</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（一）贯彻宣传党政府的方针、政策、措施，及时反映街道群众的意见、建议。</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（二）领导、管理、监督辖区市容、交通、环境保护、卫生绿化、防汛抗旱、违章建筑等。</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（三）对街道、居委会主办的以劳动、加工、综合服务事业为主的企业单位进行管理。</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（四）对辖区待业人员进行登记、管理、教育和文化、技术培训，向社会输送合格的劳动力。</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（五）按规定发放待业人员救济金，对街道文化设施（图书馆、文化站）和社会福利事业进行管理。</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（六）举办街道社区服务事业，为居民和街道企事业单位提供生活和后勤服务。</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（七）协调辖区内工厂、商店、机关、学校、医院及居民点的关系。</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shd w:val="clear" w:color="auto" w:fill="FFFFFF"/>
        </w:rPr>
        <w:t>（八）指导居民委员会的工作。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二、机构设置及决算单位构成</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3" w:firstLineChars="200"/>
        <w:jc w:val="both"/>
        <w:textAlignment w:val="auto"/>
        <w:rPr>
          <w:rFonts w:ascii="仿宋" w:hAnsi="仿宋" w:eastAsia="仿宋" w:cs="宋体"/>
          <w:color w:val="auto"/>
          <w:sz w:val="32"/>
          <w:szCs w:val="32"/>
        </w:rPr>
      </w:pPr>
      <w:r>
        <w:rPr>
          <w:rFonts w:hint="eastAsia" w:ascii="仿宋" w:hAnsi="仿宋" w:eastAsia="仿宋" w:cs="仿宋"/>
          <w:b/>
          <w:color w:val="auto"/>
          <w:sz w:val="32"/>
          <w:szCs w:val="32"/>
        </w:rPr>
        <w:t>（一）内设机构设置。</w:t>
      </w:r>
      <w:r>
        <w:rPr>
          <w:rFonts w:hint="eastAsia" w:ascii="仿宋" w:hAnsi="仿宋" w:eastAsia="仿宋" w:cs="宋体"/>
          <w:color w:val="auto"/>
          <w:sz w:val="32"/>
          <w:szCs w:val="32"/>
        </w:rPr>
        <w:t>芙蓉北路街道内设机构有：党政综合办公室、基层党建办公室、城市管理办公室、公共服务办公室、公共安全办公室、财政所。各内设机构主要职责为：</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党政综合办公室。负责街道机关党务和行政事务工作；负责政协联络工作；负责全面深化改革、政务公开（电子政务）工作；负责机关文电、机要、保密、信息、会务、档案、督办、后勤保障等工作；负责绩效考核工作；负责重大工作重要事项的综合协调和重要文稿的起草审核。</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基层党建办公室。负责基层党的建设工作；负责宣传思想、意识形态、精神文明建设（文明创建）、统一战线、民族宗教、网络安全工作；组织协调辖区内群团组织开展工作；负责机关干部队伍建设等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3）城市管理办公室（区域建设服务办公室）。主要负责市、区关于辖区发展重大建设规划的落实；组织实施和统筹协调城市综合管理工作，负责职责范围内的规划建设、市容环境、交通运输、市场监管、农林水利（精准扶贫、河长制）、生态环境保护等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4）公共服务办公室（行政审批服务办公室、优化营商环境服务办公室）。负责辖区内人力资源和社会保障、民政、社会救助、教育、科技、金融、文化、旅游、体育、卫生健康、医疗保障等工作；负责指导基层开展自治；负责辖区社会经济调查统计、两型社会建设、优化区域发展环境等工作；负责行政审批事项的组织实施，指导街道政务服务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（5）公共安全办公室。负责辖区内社会治安综合治理、应急管理、法制建设、信访等工作，维护辖区安全稳定；指导辖区内网格化综合管理工作。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（6）财政所。负责街道财务管理等工作，负责指导和监督社区财务管理。</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芙蓉北路街道设下列所属公益一类事业单位：</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（1）街道政务服务中心（街道党群服务中心）。负责与群众、驻区单位相关政务服务事项的办理。加强街道政务服务大厅建设，充分发挥综合便民服务作用，进一步拓展服务党组织和党员群众的工作。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（2）街道网格化综合服务中心。负责网格化综合管理和12345热线等平台的事务性、辅助性工作，为网格化管理的巡查、指挥、调度、督办等工作提供技术支撑。</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（3）街道退役军人服务站。负责退役军人服务管理工作。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人员情况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芙蓉北路街道一般公共预算财政拨款开支人员共58人，其中，行政编制15人，事业编制33人，参照事业编制管理10人。退休人员33人。其他人员129人。</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3" w:firstLineChars="200"/>
        <w:jc w:val="both"/>
        <w:textAlignment w:val="auto"/>
        <w:rPr>
          <w:rFonts w:ascii="仿宋" w:hAnsi="仿宋" w:eastAsia="仿宋" w:cs="宋体"/>
          <w:color w:val="auto"/>
          <w:sz w:val="32"/>
          <w:szCs w:val="32"/>
        </w:rPr>
      </w:pPr>
      <w:r>
        <w:rPr>
          <w:rFonts w:hint="eastAsia" w:ascii="仿宋" w:hAnsi="仿宋" w:eastAsia="仿宋" w:cs="仿宋"/>
          <w:b/>
          <w:bCs/>
          <w:color w:val="auto"/>
          <w:sz w:val="32"/>
          <w:szCs w:val="32"/>
        </w:rPr>
        <w:t>（二）决算单位构成。</w:t>
      </w:r>
      <w:r>
        <w:rPr>
          <w:rFonts w:hint="eastAsia" w:ascii="仿宋" w:hAnsi="仿宋" w:eastAsia="仿宋" w:cs="宋体"/>
          <w:color w:val="auto"/>
          <w:sz w:val="32"/>
          <w:szCs w:val="32"/>
        </w:rPr>
        <w:t>本单位2020年部门决算汇总公开单位构成包括：长沙市开福区芙蓉北路街道办事处本级。</w:t>
      </w:r>
    </w:p>
    <w:p>
      <w:pPr>
        <w:pStyle w:val="12"/>
        <w:keepNext w:val="0"/>
        <w:keepLines w:val="0"/>
        <w:pageBreakBefore w:val="0"/>
        <w:kinsoku/>
        <w:wordWrap/>
        <w:overflowPunct/>
        <w:topLinePunct w:val="0"/>
        <w:bidi w:val="0"/>
        <w:snapToGrid/>
        <w:spacing w:line="600" w:lineRule="exact"/>
        <w:jc w:val="center"/>
        <w:textAlignment w:val="auto"/>
        <w:rPr>
          <w:rFonts w:hint="eastAsia" w:hAnsi="黑体"/>
          <w:b/>
          <w:bCs/>
          <w:color w:val="auto"/>
          <w:sz w:val="44"/>
          <w:szCs w:val="44"/>
        </w:rPr>
      </w:pPr>
    </w:p>
    <w:p>
      <w:pPr>
        <w:pStyle w:val="12"/>
        <w:keepNext w:val="0"/>
        <w:keepLines w:val="0"/>
        <w:pageBreakBefore w:val="0"/>
        <w:kinsoku/>
        <w:wordWrap/>
        <w:overflowPunct/>
        <w:topLinePunct w:val="0"/>
        <w:bidi w:val="0"/>
        <w:snapToGrid/>
        <w:spacing w:line="600" w:lineRule="exact"/>
        <w:jc w:val="center"/>
        <w:textAlignment w:val="auto"/>
        <w:rPr>
          <w:rFonts w:hint="eastAsia" w:hAnsi="黑体"/>
          <w:b/>
          <w:bCs/>
          <w:color w:val="auto"/>
          <w:sz w:val="44"/>
          <w:szCs w:val="44"/>
        </w:rPr>
      </w:pPr>
    </w:p>
    <w:p>
      <w:pPr>
        <w:pStyle w:val="12"/>
        <w:keepNext w:val="0"/>
        <w:keepLines w:val="0"/>
        <w:pageBreakBefore w:val="0"/>
        <w:kinsoku/>
        <w:wordWrap/>
        <w:overflowPunct/>
        <w:topLinePunct w:val="0"/>
        <w:bidi w:val="0"/>
        <w:snapToGrid/>
        <w:spacing w:line="600" w:lineRule="exact"/>
        <w:jc w:val="center"/>
        <w:textAlignment w:val="auto"/>
        <w:rPr>
          <w:rFonts w:hAnsi="黑体"/>
          <w:b/>
          <w:bCs/>
          <w:color w:val="auto"/>
          <w:sz w:val="44"/>
          <w:szCs w:val="44"/>
        </w:rPr>
      </w:pPr>
      <w:r>
        <w:rPr>
          <w:rFonts w:hint="eastAsia" w:hAnsi="黑体"/>
          <w:b/>
          <w:bCs/>
          <w:color w:val="auto"/>
          <w:sz w:val="44"/>
          <w:szCs w:val="44"/>
        </w:rPr>
        <w:t>第二部分 部门决算表</w:t>
      </w:r>
    </w:p>
    <w:p>
      <w:pPr>
        <w:pStyle w:val="12"/>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（详情见附件）</w:t>
      </w:r>
    </w:p>
    <w:p>
      <w:pPr>
        <w:pStyle w:val="12"/>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auto"/>
          <w:sz w:val="32"/>
          <w:szCs w:val="32"/>
        </w:rPr>
      </w:pPr>
    </w:p>
    <w:p>
      <w:pPr>
        <w:pStyle w:val="12"/>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bidi w:val="0"/>
        <w:snapToGrid/>
        <w:spacing w:line="600" w:lineRule="exact"/>
        <w:jc w:val="center"/>
        <w:textAlignment w:val="auto"/>
        <w:rPr>
          <w:rFonts w:ascii="黑体" w:eastAsia="黑体" w:cs="黑体"/>
          <w:color w:val="auto"/>
          <w:kern w:val="0"/>
          <w:sz w:val="70"/>
          <w:szCs w:val="70"/>
        </w:rPr>
      </w:pPr>
      <w:r>
        <w:rPr>
          <w:rFonts w:hint="eastAsia" w:ascii="黑体" w:hAnsi="黑体" w:eastAsia="黑体" w:cs="黑体"/>
          <w:b/>
          <w:color w:val="auto"/>
          <w:kern w:val="0"/>
          <w:sz w:val="44"/>
          <w:szCs w:val="44"/>
        </w:rPr>
        <w:t>第三部分 2020年度部门决算情况说明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2020年度收入总计5860.81万元，其中，本年收入合计5521.81万元，年初结转和结余339.00万元。收入与2019年相比，减少650.60万元，减少9.99%，主要是因为厉行节约，压缩各方面开支，一般公共服务、社会保障和就业、城乡社区方面的收入均有所减少。</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2020年度支出总计5860.81万元，其中，本年支出合计5533.00万元，年末结转和结余327.81万元。支出与2019年相比，减少650.60万元，减少9.99%，主要是因为厉行节约，压缩各方面开支，一般公共服务、社会保障和就业、城乡社区方面的支出均有所减少。</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二、收入决算情况说明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本年收入合计</w:t>
      </w:r>
      <w:r>
        <w:rPr>
          <w:rFonts w:ascii="仿宋" w:hAnsi="仿宋" w:eastAsia="仿宋" w:cs="仿宋"/>
          <w:color w:val="auto"/>
          <w:sz w:val="32"/>
          <w:szCs w:val="32"/>
        </w:rPr>
        <w:t>5521.81</w:t>
      </w:r>
      <w:r>
        <w:rPr>
          <w:rFonts w:hint="eastAsia" w:ascii="仿宋" w:hAnsi="仿宋" w:eastAsia="仿宋" w:cs="仿宋"/>
          <w:color w:val="auto"/>
          <w:sz w:val="32"/>
          <w:szCs w:val="32"/>
        </w:rPr>
        <w:t>万元，其中：财政拨款收入</w:t>
      </w:r>
      <w:r>
        <w:rPr>
          <w:rFonts w:ascii="仿宋" w:hAnsi="仿宋" w:eastAsia="仿宋" w:cs="仿宋"/>
          <w:color w:val="auto"/>
          <w:sz w:val="32"/>
          <w:szCs w:val="32"/>
        </w:rPr>
        <w:t>4936.9</w:t>
      </w:r>
      <w:r>
        <w:rPr>
          <w:rFonts w:hint="eastAsia" w:ascii="仿宋" w:hAnsi="仿宋" w:eastAsia="仿宋" w:cs="仿宋"/>
          <w:color w:val="auto"/>
          <w:sz w:val="32"/>
          <w:szCs w:val="32"/>
        </w:rPr>
        <w:t>万元，占</w:t>
      </w:r>
      <w:r>
        <w:rPr>
          <w:rFonts w:ascii="仿宋" w:hAnsi="仿宋" w:eastAsia="仿宋" w:cs="仿宋"/>
          <w:color w:val="auto"/>
          <w:sz w:val="32"/>
          <w:szCs w:val="32"/>
        </w:rPr>
        <w:t>89.41</w:t>
      </w:r>
      <w:r>
        <w:rPr>
          <w:rFonts w:hint="eastAsia" w:ascii="仿宋" w:hAnsi="仿宋" w:eastAsia="仿宋" w:cs="仿宋"/>
          <w:color w:val="auto"/>
          <w:sz w:val="32"/>
          <w:szCs w:val="32"/>
        </w:rPr>
        <w:t>%；上级补助收入</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%；事业收入</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%；经营收入</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%；附属单位上缴收入</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%；其他收入</w:t>
      </w:r>
      <w:r>
        <w:rPr>
          <w:rFonts w:ascii="仿宋" w:hAnsi="仿宋" w:eastAsia="仿宋" w:cs="仿宋"/>
          <w:color w:val="auto"/>
          <w:sz w:val="32"/>
          <w:szCs w:val="32"/>
        </w:rPr>
        <w:t>584.91</w:t>
      </w:r>
      <w:r>
        <w:rPr>
          <w:rFonts w:hint="eastAsia" w:ascii="仿宋" w:hAnsi="仿宋" w:eastAsia="仿宋" w:cs="仿宋"/>
          <w:color w:val="auto"/>
          <w:sz w:val="32"/>
          <w:szCs w:val="32"/>
        </w:rPr>
        <w:t>万元，占</w:t>
      </w:r>
      <w:r>
        <w:rPr>
          <w:rFonts w:ascii="仿宋" w:hAnsi="仿宋" w:eastAsia="仿宋" w:cs="仿宋"/>
          <w:color w:val="auto"/>
          <w:sz w:val="32"/>
          <w:szCs w:val="32"/>
        </w:rPr>
        <w:t>10.59</w:t>
      </w:r>
      <w:r>
        <w:rPr>
          <w:rFonts w:hint="eastAsia" w:ascii="仿宋" w:hAnsi="仿宋" w:eastAsia="仿宋" w:cs="仿宋"/>
          <w:color w:val="auto"/>
          <w:sz w:val="32"/>
          <w:szCs w:val="32"/>
        </w:rPr>
        <w:t>%。</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三、支出决算情况说明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本年支出合计5533.00万元，其中：基本支出1985.00万元，占35.88%；项目支出3548.00万元，占64.12%；上缴上级支出</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%；经营支出</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%；对附属单位补助支出</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四、财政拨款收入支出决算总体情况说明</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2020年度财政拨款收入总计5275.90万元，其中，本年收入合计4936.90万元，年初财政拨款结转和结余339.00万元。财政拨款收入与2019年相比，减少</w:t>
      </w:r>
      <w:r>
        <w:rPr>
          <w:rFonts w:ascii="仿宋" w:hAnsi="仿宋" w:eastAsia="仿宋" w:cs="仿宋"/>
          <w:color w:val="auto"/>
          <w:sz w:val="32"/>
          <w:szCs w:val="32"/>
        </w:rPr>
        <w:t>787.77</w:t>
      </w:r>
      <w:r>
        <w:rPr>
          <w:rFonts w:hint="eastAsia" w:ascii="仿宋" w:hAnsi="仿宋" w:eastAsia="仿宋" w:cs="仿宋"/>
          <w:color w:val="auto"/>
          <w:sz w:val="32"/>
          <w:szCs w:val="32"/>
        </w:rPr>
        <w:t>万元，减少</w:t>
      </w:r>
      <w:r>
        <w:rPr>
          <w:rFonts w:ascii="仿宋" w:hAnsi="仿宋" w:eastAsia="仿宋" w:cs="仿宋"/>
          <w:color w:val="auto"/>
          <w:sz w:val="32"/>
          <w:szCs w:val="32"/>
        </w:rPr>
        <w:t>12.99</w:t>
      </w:r>
      <w:r>
        <w:rPr>
          <w:rFonts w:hint="eastAsia" w:ascii="仿宋" w:hAnsi="仿宋" w:eastAsia="仿宋" w:cs="仿宋"/>
          <w:color w:val="auto"/>
          <w:sz w:val="32"/>
          <w:szCs w:val="32"/>
        </w:rPr>
        <w:t>%，主要是因为厉行节约，压缩各方面开支，一般公共服务、社会保障和就业、城乡社区方面的收入均有所减少。</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2020年度财政拨款支出总计5275.90万元，其中，本年支出合计4948.10万元，年末财政拨款结转和结余327.81万元。财政拨款支出与2019年相比，减少</w:t>
      </w:r>
      <w:r>
        <w:rPr>
          <w:rFonts w:ascii="仿宋" w:hAnsi="仿宋" w:eastAsia="仿宋" w:cs="仿宋"/>
          <w:color w:val="auto"/>
          <w:sz w:val="32"/>
          <w:szCs w:val="32"/>
        </w:rPr>
        <w:t>787.77</w:t>
      </w:r>
      <w:r>
        <w:rPr>
          <w:rFonts w:hint="eastAsia" w:ascii="仿宋" w:hAnsi="仿宋" w:eastAsia="仿宋" w:cs="仿宋"/>
          <w:color w:val="auto"/>
          <w:sz w:val="32"/>
          <w:szCs w:val="32"/>
        </w:rPr>
        <w:t>万元，减少</w:t>
      </w:r>
      <w:r>
        <w:rPr>
          <w:rFonts w:ascii="仿宋" w:hAnsi="仿宋" w:eastAsia="仿宋" w:cs="仿宋"/>
          <w:color w:val="auto"/>
          <w:sz w:val="32"/>
          <w:szCs w:val="32"/>
        </w:rPr>
        <w:t>12.99</w:t>
      </w:r>
      <w:r>
        <w:rPr>
          <w:rFonts w:hint="eastAsia" w:ascii="仿宋" w:hAnsi="仿宋" w:eastAsia="仿宋" w:cs="仿宋"/>
          <w:color w:val="auto"/>
          <w:sz w:val="32"/>
          <w:szCs w:val="32"/>
        </w:rPr>
        <w:t>%，主要是因为厉行节约，压缩各方面开支，一般公共服务、社会保障和就业、城乡社区方面的支出均有所减少。</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五、一般公共预算财政拨款支出决算情况说明</w:t>
      </w:r>
    </w:p>
    <w:p>
      <w:pPr>
        <w:pStyle w:val="12"/>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（一）财政拨款支出决算总体情况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2020年度财政拨款支出4940.10万元，占本年支出合计的89.28%，与2019年相比，财政拨款支出减少704.07万元，减少12.47%，主要是因为一般公共服务、社会保障和就业、城乡社区方面的支出均有所减少。</w:t>
      </w:r>
    </w:p>
    <w:p>
      <w:pPr>
        <w:pStyle w:val="12"/>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（二）财政拨款支出决算结构情况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度财政拨款支出4940.10万元，主要用于以下方面：一般公共服务（类）支出2815.45万元，占56.99%；公共安全（类）支出7.46万元，占0.15%；教育（类）支出2.00万元，占0.04%；科学技术（类）支出8.00万元，占0.16%；文化旅游体育与传媒（类）支出11.00万元，占0.22%；社会保障和就业（类）支出1388.21万元，占28.10%；卫生健康（类）支出58.00万元，占1.17%;节能环保（类）支出22.46万元，占0.45%；城乡社区（类）支出483.10万元，占9.78%；住房保障（类）支出89.79万元，占1.82%；灾害防治及应急管理（类）支出54.63万元，占1.11%。</w:t>
      </w:r>
    </w:p>
    <w:p>
      <w:pPr>
        <w:pStyle w:val="12"/>
        <w:keepNext w:val="0"/>
        <w:keepLines w:val="0"/>
        <w:pageBreakBefore w:val="0"/>
        <w:kinsoku/>
        <w:wordWrap/>
        <w:overflowPunct/>
        <w:topLinePunct w:val="0"/>
        <w:bidi w:val="0"/>
        <w:snapToGrid/>
        <w:spacing w:line="600" w:lineRule="exact"/>
        <w:ind w:firstLine="643" w:firstLineChars="200"/>
        <w:textAlignment w:val="auto"/>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2020年度财政拨款支出年初预算数为3437.27万元，支出决算数为4940.10万元，完成年初预算的100%，其中：</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1、一般公共服务支出（类）政府办公厅（室）及相关机构事务（款）行政运行（项）。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1847.08万元，支出决算为1733.19万元，完成年初预算的93.83%，决算数小于年初预算数的主要原因是：部分支出调至社会保障和就业支出（类）行政事业单位养老支出（款）行政单位离退休（项）和住房保障支出（类）住房改革支出（款）住房公积金（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年初预算为1590.19万元，支出决算为950.95万元，完成年初预算的59.80%，决算数小于年初预算数的主要原因是：部分支出调至社会保障和就业支出（类）、卫生健康支出（类）、城乡社区支出（类）。</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3、一般公共服务支出（类）发展与改革事务（款）一般行政管理事务（项）。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年初预算为0万元，支出决算为15.00万元，决算数大于年初预算数的主要原因是：上级专项拨款。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4、一般公共服务支出（类）统计信息事务（款）一般行政管理事务（项）。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年初预算为0万元，支出决算为4.00万元，决算数大于年初预算数的主要原因是：上级专项拨款。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5、一般公共服务支出（类）统计信息事务（款）专项普查活动（项）。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年初预算为0万元，支出决算为68.38万元，决算数大于年初预算数的主要原因是：上级专项拨款，主要是支持第七次人口普查工作。</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6、一般公共服务支出（类）财政事务（款）一般行政管理事务（项）。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年初预算为0万元，支出决算为5.00万元，决算数大于年初预算数的主要原因是：上级专项拨款。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7、一般公共服务支出（类）纪检监察事务（款）一般行政管理事务（项）。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年初预算为0万元，支出决算为1.48万元，决算数大于年初预算数的主要原因是：上级专项拨款。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8、一般公共服务支出（类）群众团体事务（款）其他群众团体事务支出（项）。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9、一般公共服务支出（类）党委办公厅（室）及相关机构事务（款）专项业务（项）。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年初预算为0万元，支出决算为5.00万元，决算数大于年初预算数的主要原因是：上级专项拨款。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10、一般公共服务支出（类）组织事务（款）一般行政管理事务（项）。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年初预算为0万元，支出决算为24.54万元，决算数大于年初预算数的主要原因是：上级专项拨款。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11、一般公共服务支出（类）宣传事务（款）一般行政管理事务（项）。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sz w:val="32"/>
          <w:szCs w:val="32"/>
        </w:rPr>
        <w:t>年初预算为0万元</w:t>
      </w:r>
      <w:r>
        <w:rPr>
          <w:rFonts w:hint="eastAsia" w:ascii="仿宋" w:hAnsi="仿宋" w:eastAsia="仿宋" w:cs="仿宋"/>
          <w:color w:val="auto"/>
          <w:sz w:val="32"/>
          <w:szCs w:val="32"/>
        </w:rPr>
        <w:t>，支出决算为5</w:t>
      </w:r>
      <w:r>
        <w:rPr>
          <w:rFonts w:ascii="仿宋" w:hAnsi="仿宋" w:eastAsia="仿宋" w:cs="仿宋"/>
          <w:color w:val="auto"/>
          <w:sz w:val="32"/>
          <w:szCs w:val="32"/>
        </w:rPr>
        <w:t>.5</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12、一般公共服务支出（类）市场监督管理事务（款）一般行政管理事务（项）。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年初预算为0万元，支出决算为</w:t>
      </w:r>
      <w:r>
        <w:rPr>
          <w:rFonts w:ascii="仿宋" w:hAnsi="仿宋" w:eastAsia="仿宋" w:cs="仿宋"/>
          <w:color w:val="auto"/>
          <w:sz w:val="32"/>
          <w:szCs w:val="32"/>
        </w:rPr>
        <w:t>0.4</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13、公共安全支出（类）武装警察部队（款）武装警察部队（项）。</w:t>
      </w:r>
      <w:bookmarkStart w:id="0" w:name="_GoBack"/>
      <w:bookmarkEnd w:id="0"/>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年初预算为0万元，支出决算为1.46万元，决算数大于年初预算数的主要原因是：上级专项拨款。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14、公共安全支出（类）公安（款）其他公安支出（项）。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年初预算为0万元，支出决算为6.00万元，决算数大于年初预算数的主要原因是：上级专项拨款。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15、教育支出（类）教育费附加安排的支出（款）其他教育费附加安排的支出（项）。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16、科学技术支出（类）科学技术普及（款）科普活动（项）。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年初预算为0万元，支出决算为8.00万元，决算数大于年初预算数的主要原因是：上级专项拨款。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17、文化旅游体育与传媒支出（类）文化和旅游（款）一般行政管理事务（项）。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18、文化旅游体育与传媒支出（类）文化和旅游（款）其他文化和旅游支出（项）。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年初预算为0万元，支出决算为8.00万元，决算数大于年初预算数的主要原因是：上级专项拨款。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19、社会保障和就业支出（类）人力资源和社会保障管理事务（款）其他人力资源和社会保障管理事务支出（项）。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年初预算为0万元，支出决算为164.90万元，决算数大于年初预算数的主要原因是：年初预算时将该项支出纳入一般公共服务支出（类）政府办公厅（室）及相关机构事务（款）一般行政管理事务（项）。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20、社会保障和就业支出（类）民政管理事务（款）一般行政管理事务（项）。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年初预算为0万元，支出决算为18.32万元，决算数大于年初预算数的主要原因是：年初预算时将该项支出纳入一般公共服务支出（类）政府办公厅（室）及相关机构事务（款）一般行政管理事务（项）。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21、社会保障和就业支出（类）民政管理事务（款）基层政权建设和社区治理（项）。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年初预算为0万元，支出决算为868.32元，决算数大于年初预算数的主要原因是：年初预算时将该项支出纳入一般公共服务支出（类）政府办公厅（室）及相关机构事务（款）一般行政管理事务（项）。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22、社会保障和就业支出（类）民政管理事务（款）其他民政管理事务支出（项）。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年初预算为0万元，支出决算为1.68元，决算数大于年初预算数的主要原因是：上级专项拨款。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23、社会保障和就业支出（类）行政事业单位养老支出（款）行政单位离退休（项）。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年初预算为0万元，支出决算为161.78元，决算数大于年初预算数的主要原因是：年初预算时将该项支出纳入一般公共服务支出（类）政府办公厅（室）及相关机构事务（款）行政运行（项）。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24、社会保障和就业支出（类）就业补助（款）其他就业补助支出（项）。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年初预算为0万元，支出决算为9.61元，决算数大于年初预算数的主要原因是：上级专项拨款。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25、社会保障和就业支出（类）抚恤（款）其他抚恤支出（项）。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年初预算为0万元，支出决算为7.26元，决算数大于年初预算数的主要原因是：上级专项拨款。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26、社会保障和就业支出（类）退役安置（款）其他退役安置支出（项）。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年初预算为0万元，支出决算为63.99元，决算数大于年初预算数的主要原因是：上级专项拨款。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27、社会保障和就业支出（类）社会福利（款）老年福利（项）。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年初预算为0万元，支出决算为42.50元，决算数大于年初预算数的主要原因是：上级专项拨款。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28、社会保障和就业支出（类）残疾人事业（款）一般行政管理事务（项）。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年初预算为0万元，支出决算为0.30元，决算数大于年初预算数的主要原因是：上级专项拨款。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29、社会保障和就业支出（类）残疾人事业（款）其他残疾人事业支出（项）。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年初预算为0万元，支出决算为4.83元，决算数大于年初预算数的主要原因是：上级专项拨款。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30、社会保障和就业支出（类）临时救助（款）其他临时救助支出（项）。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年初预算为0万元，支出决算为15.84元，决算数大于年初预算数的主要原因是：上级专项拨款。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31、社会保障和就业支出（类）退役军人管理事务（款）一般行政管理事务（项）。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年初预算为0万元，支出决算为7.86元，决算数大于年初预算数的主要原因是：上级专项拨款。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32、社会保障和就业支出（类）退役军人管理事务（款）拥军优属（项）。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年初预算为0万元，支出决算为3.52元，决算数大于年初预算数的主要原因是：上级专项拨款。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33、社会保障和就业支出（类）退役军人管理事务（款）其他退役军人事务管理支出（项）。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年初预算为0万元，支出决算为17.50元，决算数大于年初预算数的主要原因是：上级专项拨款。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34、卫生健康支出（类）卫生健康管理事务（款）一般行政管理事务（项）。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年初预算为0万元，支出决算为2.86元，决算数大于年初预算数的主要原因是：年初预算时纳入一般公共服务支出（类）政府办公厅（室）及相关机构事务（款）一般行政管理事务（项）。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35、卫生健康支出（类）公共卫生（款）疾病预防控制机构（项）。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年初预算为0万元，支出决算为31.50元，决算数大于年初预算数的主要原因是：年初预算时纳入一般公共服务支出（类）政府办公厅（室）及相关机构事务（款）一般行政管理事务（项）。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36、卫生健康支出（类）公共卫生（款）采供血机构（项）。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年初预算为0万元，支出决算为1.00元，决算数大于年初预算数的主要原因是：上级专项拨款。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37、卫生健康支出（类）公共卫生（款）重大公共卫生服务（项）。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年初预算为0万元，支出决算为10.34元，决算数大于年初预算数的主要原因是：上级专项拨款。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38、卫生健康支出（类）公共卫生（款）其他公共卫生支出（项）。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年初预算为0万元，支出决算为2.90元，决算数大于年初预算数的主要原因是：上级专项拨款。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39、卫生健康支出（类）计划生育事务（款）计划生育服务（项）。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年初预算为0万元，支出决算为4.17元，决算数大于年初预算数的主要原因是：上级专项拨款。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40、卫生健康支出（类）计划生育事务（款）其他计划生育事务支出（项）。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年初预算为0万元，支出决算为5.00元，决算数大于年初预算数的主要原因是：上级专项拨款。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41、卫生健康支出（类）优抚对象医疗（款）优抚对象医疗补助（项）。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年初预算为0万元，支出决算为0.22元，决算数大于年初预算数的主要原因是：上级专项拨款。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42、节能环保支出（类）环境保护管理事务（款）其他环境保护管理事务支出（项）。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年初预算为0万元，支出决算为22.46元，决算数大于年初预算数的主要原因是：上级专项拨款。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43、城乡社区支出（类）城乡社区管理事务（款）行政运行（项）。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年初预算为0万元，支出决算为59.20元，决算数大于年初预算数的主要原因是：年初预算时纳入一般公共服务支出（类）政府办公厅（室）及相关机构事务（款）一般行政管理事务（项）。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44、城乡社区支出（类）城乡社区管理事务（款）一般行政管理事务（项）。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年初预算为0万元，支出决算为353.07元，决算数大于年初预算数的主要原因是：年初预算时纳入一般公共服务支出（类）政府办公厅（室）及相关机构事务（款）一般行政管理事务（项）。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45、城乡社区支出（类）城乡社区管理事务（款）其他城乡社区管理事务支出（项）。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年初预算为0万元，支出决算为3.00元，决算数大于年初预算数的主要原因是：上级专项拨款。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46、城乡社区支出（类）城乡社区公共设施（款）其他城乡社区公共设施支出（项）。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年初预算为0万元，支出决算为23.00元，决算数大于年初预算数的主要原因是：上级专项拨款。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47、城乡社区支出（类）城乡社区环境卫生（款）城乡社区环境卫生（项）。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年初预算为0万元，支出决算为14.33元，决算数大于年初预算数的主要原因是：上级专项拨款。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48、城乡社区支出（类）建设市场管理与监督（款）建设市场管理与监督（项）。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年初预算为0万元，支出决算为27.50元，决算数大于年初预算数的主要原因是：上级专项拨款。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49、城乡社区支出（类）其他城乡社区支出（款）其他城乡社区支出（项）。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年初预算为0万元，支出决算为3.00元，决算数大于年初预算数的主要原因是：上级专项拨款。</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50、住房保障支出（类）住房改革支出（款）住房公积金（项）。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年初预算为0万元，支出决算为89.79元，决算数大于年初预算数的主要原因是：年初预算时纳入一般公共服务支出（类）政府办公厅（室）及相关机构事务（款）行政运行（项）。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51、灾害防治及应急管理支出（类）消防事务（款）消防应急救援（项）。</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年初预算为0万元，支出决算为54.63元，决算数大于年初预算数的主要原因是：上级专项拨款。</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度财政拨款基本支出1984.77万元，其中：人员经费1901.13万元，占基本支出的95.79%，主要包括基本工资、津贴补贴、奖金、机关事业单位基本养老保险缴费、职业年金缴费、职工基本医疗保险缴费、住房公积金、其他工资福利支出、退休费、其他对个人和家庭的补助；公用经费83.64万元，占基本支出的4.21%，主要包括办公费、印刷费、水费、电费、邮电费、维修（护）费、租赁费、专用材料费、工会经费、其他商品和服务支出。</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12"/>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（一）“三公”经费财政拨款支出决算总体情况说明</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“三公”</w:t>
      </w:r>
      <w:r>
        <w:rPr>
          <w:rFonts w:hint="eastAsia" w:ascii="仿宋" w:hAnsi="仿宋" w:eastAsia="仿宋" w:cs="仿宋"/>
          <w:sz w:val="32"/>
          <w:szCs w:val="32"/>
          <w:highlight w:val="none"/>
        </w:rPr>
        <w:t>经费</w:t>
      </w:r>
      <w:r>
        <w:rPr>
          <w:rFonts w:hint="eastAsia" w:ascii="仿宋" w:hAnsi="仿宋" w:eastAsia="仿宋" w:cs="仿宋"/>
          <w:sz w:val="32"/>
          <w:szCs w:val="32"/>
        </w:rPr>
        <w:t>财政拨款支出预算为0万元，支出决算为0万元，其中：</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sz w:val="32"/>
          <w:szCs w:val="32"/>
        </w:rPr>
        <w:t>因公出国（境）费支出预算为0万元，支出决算为0万元</w:t>
      </w:r>
      <w:r>
        <w:rPr>
          <w:rFonts w:hint="eastAsia" w:ascii="仿宋" w:hAnsi="仿宋" w:eastAsia="仿宋" w:cs="仿宋"/>
          <w:color w:val="auto"/>
          <w:sz w:val="32"/>
          <w:szCs w:val="32"/>
        </w:rPr>
        <w:t>，决算数等于年初预算数的主要原因是：无因公出国（境）安排。与上年相比持平，持平的主要原因是无因公出国（境）安排。</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公务接待费支出预算为0万元，支出决算为0万元，决算数等于年初预算数的主要原因是：无公务接待安排。与上年相比持平，持平的主要原因是无公务接待安排。</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color w:val="auto"/>
          <w:sz w:val="32"/>
          <w:szCs w:val="32"/>
        </w:rPr>
      </w:pPr>
      <w:r>
        <w:rPr>
          <w:rFonts w:hint="eastAsia" w:ascii="仿宋" w:hAnsi="仿宋" w:eastAsia="仿宋" w:cs="仿宋"/>
          <w:sz w:val="32"/>
          <w:szCs w:val="32"/>
        </w:rPr>
        <w:t>公务用车购置费及运行维护费支出预算为0万元，支出决算为0万元，</w:t>
      </w:r>
      <w:r>
        <w:rPr>
          <w:rFonts w:hint="eastAsia" w:ascii="仿宋" w:hAnsi="仿宋" w:eastAsia="仿宋" w:cs="仿宋"/>
          <w:color w:val="auto"/>
          <w:sz w:val="32"/>
          <w:szCs w:val="32"/>
        </w:rPr>
        <w:t>决算数等于年初预算数的主要原因是：公务用车购置费及运行维护费支出安排。与上年相比持平，持平的主要原因是无公务用车购置费及运行维护费支出安排。</w:t>
      </w:r>
    </w:p>
    <w:p>
      <w:pPr>
        <w:pStyle w:val="12"/>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（二）“三公”经费财政拨款支出决算具体情况说明</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2020年度“三公”经费财政拨款支出决算中，公务接待费支出决算0万元，因公出国（境）费支出决算0万元，公务用车购置费及运行维护费支出决算0万元。其中：</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1、因公出国（境）费支出决算为0万元，全年无安排因公出国（境）团组，没有发生因公出国（境）费支出。</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2、公务接待费支出决算为0万元，全年无接待来访团组，没有发生接待支出。</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3、公务用车购置费及运行维护费支出决算为0万元，无公务用车购置费，没有更新公务用车。公务用车运行维护费0万元，截至2020年12月31日，我单位开支财政拨款的公务用车保有量为0辆。</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八、政府性基金预算收入支出决算情况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rPr>
        <w:t>2020年度政府性基金预算财政拨款收入8.00万元；年初结转和结余0万元；支出8.00万元，其中基本支出0万</w:t>
      </w:r>
      <w:r>
        <w:rPr>
          <w:rFonts w:hint="eastAsia" w:ascii="仿宋" w:hAnsi="仿宋" w:eastAsia="仿宋" w:cs="仿宋"/>
          <w:sz w:val="32"/>
          <w:szCs w:val="32"/>
          <w:highlight w:val="none"/>
        </w:rPr>
        <w:t>元，项目支出8.00万元；年末结转和结余0万元。</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2020</w:t>
      </w:r>
      <w:r>
        <w:rPr>
          <w:rFonts w:hAnsi="黑体" w:cs="Times New Roman"/>
          <w:color w:val="auto"/>
          <w:sz w:val="32"/>
          <w:szCs w:val="32"/>
        </w:rPr>
        <w:t>年度预算绩效情况说明</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2020年，我单位纳入财政项目绩效管理的项目资金5533.00万元，资金严格按照规范程序申请、管理、使用，资金支付范围、支付标准、支付进度、支付依据合规合法。</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（一）本单位财务管理、绩效管理、决算组织、编报、审核情况。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本单位对财务管理进行规范化，同区级财政部门及时沟通学习，积极进行财政部门组织的决算、编报、审核等方面工作，认真如实填报。</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（二）本单位决算及绩效信息公开工作开展情况。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本单位对决算公开工作及绩效信息公开工作按规定认真执行，做到及时填制、及时公开，及时上报。</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十、其他重要事项情况说明</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（一）机关运行经费支出情况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本部门2020年度机关运行经费支出83.64万元，比年初预算数减少92.53万元，降低52.52</w:t>
      </w:r>
      <w:r>
        <w:rPr>
          <w:rFonts w:ascii="Calibri" w:hAnsi="Calibri" w:eastAsia="仿宋" w:cs="Calibri"/>
          <w:sz w:val="32"/>
          <w:szCs w:val="32"/>
        </w:rPr>
        <w:t> </w:t>
      </w:r>
      <w:r>
        <w:rPr>
          <w:rFonts w:hint="eastAsia" w:ascii="仿宋" w:hAnsi="仿宋" w:eastAsia="仿宋" w:cs="仿宋"/>
          <w:sz w:val="32"/>
          <w:szCs w:val="32"/>
        </w:rPr>
        <w:t>%。主要原因是：厉行节约，缩减公用经费开支。</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b/>
          <w:kern w:val="0"/>
          <w:sz w:val="32"/>
          <w:szCs w:val="32"/>
        </w:rPr>
      </w:pPr>
      <w:r>
        <w:rPr>
          <w:rFonts w:hint="eastAsia" w:ascii="仿宋" w:hAnsi="仿宋" w:eastAsia="仿宋" w:cs="仿宋"/>
          <w:b/>
          <w:kern w:val="0"/>
          <w:sz w:val="32"/>
          <w:szCs w:val="32"/>
        </w:rPr>
        <w:t>（二）一般性支出情况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本部门开支会议费0万元，无召开会议；开支培训费1.03万元，其中，用于开展法治教育培训0.56万元，人数40人，内容为法治教育相关知识；用于开展禁毒业务培训0.40万元，人数10人，内容为禁毒相关业务知识；用于开展内审培训0.07万元，人数1人，内容为内部审计相关知识；开支活动费0万元，没有举办节庆、晚会、论坛、赛事等活动。</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（三）政府采购支出情况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部门2020年度政府采购支出总额54.94万元，其中：政府采购货物支出44.94万元、政府采购工程支出0万元、政府采购服务支出10.00万元。授予中小企业合同金额0万元，占政府采购支出总额的0%，其中：授予小微企业合同金额0万元，占政府采购支出总额的0%。</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b/>
          <w:kern w:val="0"/>
          <w:sz w:val="32"/>
          <w:szCs w:val="32"/>
        </w:rPr>
      </w:pPr>
      <w:r>
        <w:rPr>
          <w:rFonts w:hint="eastAsia" w:ascii="仿宋" w:hAnsi="仿宋" w:eastAsia="仿宋" w:cs="仿宋"/>
          <w:b/>
          <w:kern w:val="0"/>
          <w:sz w:val="32"/>
          <w:szCs w:val="32"/>
        </w:rPr>
        <w:t>（四）国有资产占用情况</w:t>
      </w:r>
    </w:p>
    <w:p>
      <w:pPr>
        <w:pStyle w:val="5"/>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截至2020年12月31日，本单位共有车辆3辆，其中，领导干部用车0辆、机要通信用车0辆、应急保障用车0辆、执法执勤用车0辆、特种专业技术用车0辆、其他用车3辆，其他用车主要是路面清扫保洁车；单位价值50万元以上通用设备0台（套）；单位价值100万元以上专用设备0台（套）。</w:t>
      </w:r>
    </w:p>
    <w:p>
      <w:pPr>
        <w:keepNext w:val="0"/>
        <w:keepLines w:val="0"/>
        <w:pageBreakBefore w:val="0"/>
        <w:widowControl/>
        <w:kinsoku/>
        <w:wordWrap/>
        <w:overflowPunct/>
        <w:topLinePunct w:val="0"/>
        <w:bidi w:val="0"/>
        <w:snapToGrid/>
        <w:spacing w:line="600" w:lineRule="exact"/>
        <w:jc w:val="center"/>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ascii="仿宋" w:hAnsi="仿宋" w:eastAsia="仿宋" w:cs="仿宋"/>
          <w:sz w:val="32"/>
          <w:szCs w:val="32"/>
        </w:rPr>
      </w:pPr>
      <w:r>
        <w:rPr>
          <w:rFonts w:hint="eastAsia"/>
        </w:rPr>
        <w:t xml:space="preserve">  </w:t>
      </w:r>
      <w:r>
        <w:rPr>
          <w:rFonts w:hint="eastAsia" w:ascii="仿宋" w:hAnsi="仿宋" w:eastAsia="仿宋" w:cs="仿宋"/>
          <w:sz w:val="32"/>
          <w:szCs w:val="32"/>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numPr>
          <w:ilvl w:val="0"/>
          <w:numId w:val="1"/>
        </w:numPr>
        <w:kinsoku/>
        <w:wordWrap/>
        <w:overflowPunct/>
        <w:topLinePunct w:val="0"/>
        <w:bidi w:val="0"/>
        <w:snapToGrid/>
        <w:spacing w:line="600" w:lineRule="exact"/>
        <w:jc w:val="center"/>
        <w:textAlignment w:val="auto"/>
        <w:rPr>
          <w:rFonts w:ascii="黑体" w:hAnsi="黑体" w:eastAsia="黑体" w:cs="黑体"/>
          <w:bCs/>
          <w:kern w:val="0"/>
          <w:sz w:val="44"/>
          <w:szCs w:val="44"/>
        </w:rPr>
      </w:pPr>
      <w:r>
        <w:rPr>
          <w:rFonts w:hint="eastAsia" w:ascii="黑体" w:hAnsi="黑体" w:eastAsia="黑体" w:cs="黑体"/>
          <w:bCs/>
          <w:kern w:val="0"/>
          <w:sz w:val="44"/>
          <w:szCs w:val="44"/>
        </w:rPr>
        <w:t>附件</w:t>
      </w:r>
    </w:p>
    <w:p>
      <w:pPr>
        <w:keepNext w:val="0"/>
        <w:keepLines w:val="0"/>
        <w:pageBreakBefore w:val="0"/>
        <w:kinsoku/>
        <w:wordWrap/>
        <w:overflowPunct/>
        <w:topLinePunct w:val="0"/>
        <w:bidi w:val="0"/>
        <w:snapToGrid/>
        <w:spacing w:line="600" w:lineRule="exact"/>
        <w:textAlignment w:val="auto"/>
        <w:rPr>
          <w:rFonts w:ascii="黑体" w:hAnsi="黑体" w:eastAsia="黑体" w:cs="黑体"/>
          <w:bCs/>
          <w:kern w:val="0"/>
          <w:sz w:val="44"/>
          <w:szCs w:val="44"/>
        </w:rPr>
      </w:pPr>
    </w:p>
    <w:p>
      <w:pPr>
        <w:keepNext w:val="0"/>
        <w:keepLines w:val="0"/>
        <w:pageBreakBefore w:val="0"/>
        <w:widowControl/>
        <w:kinsoku/>
        <w:wordWrap/>
        <w:overflowPunct/>
        <w:topLinePunct w:val="0"/>
        <w:bidi w:val="0"/>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2020年度部门整体支出绩效评价报告</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E21E03"/>
    <w:rsid w:val="00195EA3"/>
    <w:rsid w:val="001A57B5"/>
    <w:rsid w:val="00235AAF"/>
    <w:rsid w:val="0025089A"/>
    <w:rsid w:val="004B1332"/>
    <w:rsid w:val="00557560"/>
    <w:rsid w:val="00613A20"/>
    <w:rsid w:val="00806A68"/>
    <w:rsid w:val="008A1407"/>
    <w:rsid w:val="00AF2365"/>
    <w:rsid w:val="00B1356A"/>
    <w:rsid w:val="00C93180"/>
    <w:rsid w:val="00CB202F"/>
    <w:rsid w:val="00CD641D"/>
    <w:rsid w:val="00E21E03"/>
    <w:rsid w:val="00EB36C4"/>
    <w:rsid w:val="00F17124"/>
    <w:rsid w:val="00FD0325"/>
    <w:rsid w:val="13E64A9B"/>
    <w:rsid w:val="290B4A87"/>
    <w:rsid w:val="5109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uiPriority w:val="0"/>
    <w:pPr>
      <w:spacing w:after="120"/>
    </w:pPr>
    <w:rPr>
      <w:rFonts w:ascii="Times New Roman" w:hAnsi="Times New Roman" w:eastAsia="宋体" w:cs="Times New Roma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字符"/>
    <w:basedOn w:val="6"/>
    <w:link w:val="4"/>
    <w:uiPriority w:val="0"/>
    <w:rPr>
      <w:rFonts w:asciiTheme="minorHAnsi" w:hAnsiTheme="minorHAnsi" w:eastAsiaTheme="minorEastAsia" w:cstheme="minorBidi"/>
      <w:kern w:val="2"/>
      <w:sz w:val="18"/>
      <w:szCs w:val="18"/>
    </w:rPr>
  </w:style>
  <w:style w:type="character" w:customStyle="1" w:styleId="10">
    <w:name w:val="页脚 字符"/>
    <w:basedOn w:val="6"/>
    <w:link w:val="3"/>
    <w:uiPriority w:val="0"/>
    <w:rPr>
      <w:rFonts w:asciiTheme="minorHAnsi" w:hAnsiTheme="minorHAnsi" w:eastAsiaTheme="minorEastAsia" w:cstheme="minorBidi"/>
      <w:kern w:val="2"/>
      <w:sz w:val="18"/>
      <w:szCs w:val="18"/>
    </w:rPr>
  </w:style>
  <w:style w:type="paragraph" w:styleId="11">
    <w:name w:val="List Paragraph"/>
    <w:basedOn w:val="1"/>
    <w:qFormat/>
    <w:uiPriority w:val="34"/>
    <w:pPr>
      <w:ind w:firstLine="420" w:firstLineChars="200"/>
    </w:pPr>
    <w:rPr>
      <w:rFonts w:ascii="Calibri" w:hAnsi="Calibri" w:eastAsia="宋体" w:cs="Times New Roman"/>
      <w:szCs w:val="22"/>
    </w:rPr>
  </w:style>
  <w:style w:type="paragraph" w:customStyle="1" w:styleId="12">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正文文本 字符"/>
    <w:basedOn w:val="6"/>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9072</Words>
  <Characters>9803</Characters>
  <Lines>71</Lines>
  <Paragraphs>20</Paragraphs>
  <TotalTime>4</TotalTime>
  <ScaleCrop>false</ScaleCrop>
  <LinksUpToDate>false</LinksUpToDate>
  <CharactersWithSpaces>9822</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2022-06-29T00:52:00Z</dcterms:created>
  <dc:creator>朱嘉</dc:creator>
  <cp:lastModifiedBy>Administrator</cp:lastModifiedBy>
  <dcterms:modified xsi:type="dcterms:W3CDTF">2022-08-19T02:54:13Z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3A6B49D837F34E05A9C14DAE36824147</vt:lpwstr>
  </property>
</Properties>
</file>