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600" w:lineRule="exact"/>
        <w:ind w:firstLine="960" w:firstLineChars="200"/>
        <w:jc w:val="center"/>
        <w:textAlignment w:val="auto"/>
        <w:rPr>
          <w:rFonts w:eastAsia="方正小标宋_GBK"/>
          <w:bCs/>
          <w:kern w:val="0"/>
          <w:sz w:val="44"/>
          <w:szCs w:val="44"/>
        </w:rPr>
      </w:pPr>
      <w:r>
        <w:rPr>
          <w:rFonts w:hint="eastAsia" w:ascii="黑体" w:hAnsi="黑体" w:eastAsia="黑体" w:cs="黑体"/>
          <w:bCs/>
          <w:kern w:val="0"/>
          <w:sz w:val="48"/>
          <w:szCs w:val="48"/>
        </w:rPr>
        <w:t>2020年长沙市开福区东风路街道办事处部门决算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eastAsia="楷体_GB2312"/>
          <w:bCs/>
          <w:kern w:val="0"/>
          <w:sz w:val="32"/>
          <w:szCs w:val="32"/>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kinsoku/>
        <w:wordWrap/>
        <w:overflowPunct/>
        <w:topLinePunct w:val="0"/>
        <w:bidi w:val="0"/>
        <w:snapToGrid/>
        <w:spacing w:line="600" w:lineRule="exact"/>
        <w:ind w:firstLine="643" w:firstLineChars="200"/>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第一部分 长沙市开福区东风路街道办事处部门概况</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第三部分 2020年度部门决算情况说明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keepNext w:val="0"/>
        <w:keepLines w:val="0"/>
        <w:pageBreakBefore w:val="0"/>
        <w:widowControl/>
        <w:kinsoku/>
        <w:wordWrap/>
        <w:overflowPunct/>
        <w:topLinePunct w:val="0"/>
        <w:bidi w:val="0"/>
        <w:snapToGrid/>
        <w:spacing w:line="600" w:lineRule="exact"/>
        <w:ind w:firstLine="720" w:firstLineChars="200"/>
        <w:textAlignment w:val="auto"/>
        <w:rPr>
          <w:rFonts w:hint="eastAsia" w:eastAsia="方正小标宋_GBK"/>
          <w:bCs/>
          <w:kern w:val="0"/>
          <w:sz w:val="36"/>
          <w:szCs w:val="36"/>
        </w:rPr>
      </w:pPr>
    </w:p>
    <w:p>
      <w:pPr>
        <w:keepNext w:val="0"/>
        <w:keepLines w:val="0"/>
        <w:pageBreakBefore w:val="0"/>
        <w:widowControl/>
        <w:kinsoku/>
        <w:wordWrap/>
        <w:overflowPunct/>
        <w:topLinePunct w:val="0"/>
        <w:bidi w:val="0"/>
        <w:snapToGrid/>
        <w:spacing w:line="600" w:lineRule="exact"/>
        <w:ind w:firstLine="720" w:firstLineChars="200"/>
        <w:textAlignment w:val="auto"/>
        <w:rPr>
          <w:rFonts w:hint="eastAsia" w:eastAsia="方正小标宋_GBK"/>
          <w:bCs/>
          <w:kern w:val="0"/>
          <w:sz w:val="36"/>
          <w:szCs w:val="36"/>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eastAsia="方正小标宋_GBK"/>
          <w:bCs/>
          <w:kern w:val="0"/>
          <w:sz w:val="44"/>
          <w:szCs w:val="44"/>
        </w:rPr>
      </w:pPr>
      <w:r>
        <w:rPr>
          <w:rFonts w:hint="eastAsia" w:ascii="黑体" w:hAnsi="黑体" w:eastAsia="黑体" w:cs="黑体"/>
          <w:b/>
          <w:kern w:val="0"/>
          <w:sz w:val="44"/>
          <w:szCs w:val="44"/>
        </w:rPr>
        <w:t>第一部分 东风路街道办事处部门概况</w:t>
      </w:r>
    </w:p>
    <w:p>
      <w:pPr>
        <w:pStyle w:val="11"/>
        <w:keepNext w:val="0"/>
        <w:keepLines w:val="0"/>
        <w:pageBreakBefore w:val="0"/>
        <w:kinsoku/>
        <w:wordWrap/>
        <w:overflowPunct/>
        <w:topLinePunct w:val="0"/>
        <w:bidi w:val="0"/>
        <w:snapToGrid/>
        <w:spacing w:line="600" w:lineRule="exact"/>
        <w:ind w:firstLine="640"/>
        <w:jc w:val="left"/>
        <w:textAlignment w:val="auto"/>
        <w:rPr>
          <w:rFonts w:ascii="黑体" w:hAnsi="黑体" w:eastAsia="黑体"/>
          <w:sz w:val="32"/>
          <w:szCs w:val="32"/>
        </w:rPr>
      </w:pP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
          <w:kern w:val="0"/>
          <w:sz w:val="32"/>
          <w:szCs w:val="32"/>
        </w:rPr>
      </w:pPr>
      <w:r>
        <w:rPr>
          <w:rFonts w:hint="eastAsia" w:ascii="黑体" w:hAnsi="黑体" w:eastAsia="黑体" w:cs="黑体"/>
          <w:bCs/>
          <w:kern w:val="0"/>
          <w:sz w:val="32"/>
          <w:szCs w:val="32"/>
        </w:rPr>
        <w:t>一、部门职责</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（一）贯彻执行法律、法规、政策和上级人民政府的决定、命令、指示，完成上级人民政府部署的各项任务。</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二）研究制定并组织实施街道经济发展计划，加强对街道经济社会全面管理和协调服务。做好统计工作。指导辖区企业调整产业结构，科技开发和节能减排。发展区域第三产业，强化社会商业网点建设。优化投资环境，协助做好辖区内企业、项目的招商引资工作。</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（三）负责制定并执行街道财政预、决算。监督街属单位的财务活动，加强审计监督。广泛培植财源，协税护税，发展街道经济，增加街道的财政收入，完成年度财税任务。</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（四）负责编制社会发展规划，落实辖区内的民政、人力资源和社会保障工作。会同上级部门加强对辖区小区物业管理的指导、监督和协调服务工作。</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（五）组织开展计划生育宣传教育工作和技术服务。指导辖区单位和社区的计划生育基础管理工作。</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（六）负责组织开展以提高市民素质为目的的文化、体育、法制、教育、科技等活动，不断提高居民群众思想素质、文明程度与道德水准，树立文明新风。</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（七）负责配合上级部门开展辖区生产安全、食品安全、消防安全、交通安全、建筑安全等安全生产监督管理工作。</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（八）负责辖区城市管理工作，开展爱国卫生运动。会同上级部门做好建设、规划、工务、国土、环境保护、市政、环卫、园林绿化等工作。负责街道辖区内的项目征收拆迁和安置工作。</w:t>
      </w:r>
    </w:p>
    <w:p>
      <w:pPr>
        <w:pStyle w:val="12"/>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（九）负责协助上级主管部门做好病虫防治、动物防疫工作。认真落实辖区防汛、防内渍、防内涝工作。</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sz w:val="32"/>
          <w:szCs w:val="32"/>
        </w:rPr>
        <w:t>（一）内设机构设置。</w:t>
      </w:r>
      <w:r>
        <w:rPr>
          <w:rFonts w:ascii="仿宋" w:hAnsi="仿宋" w:eastAsia="仿宋" w:cs="仿宋"/>
          <w:color w:val="000000"/>
          <w:sz w:val="32"/>
          <w:szCs w:val="32"/>
        </w:rPr>
        <w:t>东风路街道办事处内设机构包括：党政综合办、基层党建办、公共安全办、城市管理办、公共服务办、综合执法队、政务服务中心。</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党政综合办公室：负责街道机关党务和行政事务工作；负责机关文电、机要、保密、信息、会务、档案、督查督办、党务政务公开、后勤保障等工作；负责重大工作重要事项的综合协调和重要文稿的起草审核；负责老干、关协、妇联等工作；负责“12345”热线工作。</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基层党建办公室：负责基层党的建设、宣传思想、意识形态、网络安全、统一战线、民族宗教工作；负责组织协调辖区内群团、机关总支开展工作；负责教育、旅游、文化、体育、共青团工作；牵头负责机关干部队伍建设和社区工作人员的管理。</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城市管理办公室：负责组织实施和统筹协调城市综合管理工作；负责文明创建、市容环境、交通运输、市场监管、数字城管工作；负责生态环境保护工作；负责辖区内食品安全工作；负责市、区关于辖区发展重大建设规划的落实；负责规划建设、物业管理、人民防空、城市人居环境改造、农林水务（河长制）等工作。</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公共服务办公室：负责人力资源、社会保障、住房保障、民政、残联、社会救助、医疗保障等工作；负责指导基层开展自治；负责行政审批事项的组织实施，指导街道政务服务、联合工会等工作；负责财政工作；负责辖区内社会经济调查统计，优化区域发展环境、科技等工作。负责爱卫、红十字会、卫生健康等工作；负责政协联络工作；负责退役军人服务、再就业安置、优抚、思想稳控等工作；牵头开展精神文明建设工作。</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公共安全办公室：负责辖区内社会治安综合治理、维稳、防范邪教、司法、禁毒、信访、国家安全以及遗留问题处置等工作；负责指导先福遗留办和胜利遗留办处遗工作；负责指导辖区内网格化综合管理工作；负责应急管理、防汛抗旱、消防、安全生产等工作。</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政务服务中心：负责与群众、驻区单位相关政务服务事项的办理；负责劳动保障和最低生活保障等工作；负责加强政务服务大厅建设，充分发挥综合便民服务作用，进一步拓展服务党组织和党员群众的功能。</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综合执法队：负责市容环境整治工作、城市综合执法治理。</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本单位编制人数52人，实有在职人数52人；离退休人员50人，其中离休人员0人，退休人员50人。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bCs/>
          <w:sz w:val="32"/>
          <w:szCs w:val="32"/>
        </w:rPr>
        <w:t>（二）决算单位构成。</w:t>
      </w:r>
      <w:r>
        <w:rPr>
          <w:rFonts w:ascii="仿宋" w:hAnsi="仿宋" w:eastAsia="仿宋" w:cs="仿宋"/>
          <w:color w:val="000000"/>
          <w:sz w:val="32"/>
          <w:szCs w:val="32"/>
        </w:rPr>
        <w:t>东风路街道办事处2020年部门决算汇总公开单位构成包括：东风路街道办事处本级。</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p>
    <w:p>
      <w:pPr>
        <w:pStyle w:val="12"/>
        <w:keepNext w:val="0"/>
        <w:keepLines w:val="0"/>
        <w:pageBreakBefore w:val="0"/>
        <w:kinsoku/>
        <w:wordWrap/>
        <w:overflowPunct/>
        <w:topLinePunct w:val="0"/>
        <w:bidi w:val="0"/>
        <w:snapToGrid/>
        <w:spacing w:line="600" w:lineRule="exact"/>
        <w:ind w:firstLine="883" w:firstLineChars="200"/>
        <w:jc w:val="center"/>
        <w:textAlignment w:val="auto"/>
        <w:rPr>
          <w:rFonts w:hint="eastAsia"/>
          <w:sz w:val="84"/>
          <w:szCs w:val="84"/>
        </w:rPr>
      </w:pPr>
      <w:r>
        <w:rPr>
          <w:rFonts w:hint="eastAsia" w:hAnsi="黑体"/>
          <w:b/>
          <w:bCs/>
          <w:sz w:val="44"/>
          <w:szCs w:val="44"/>
        </w:rPr>
        <w:t>第二部分 部门决算表</w:t>
      </w:r>
    </w:p>
    <w:p>
      <w:pPr>
        <w:keepNext w:val="0"/>
        <w:keepLines w:val="0"/>
        <w:pageBreakBefore w:val="0"/>
        <w:kinsoku/>
        <w:wordWrap/>
        <w:overflowPunct/>
        <w:topLinePunct w:val="0"/>
        <w:bidi w:val="0"/>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（详情见附件）</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eastAsia="黑体" w:cs="黑体"/>
          <w:color w:val="000000"/>
          <w:kern w:val="0"/>
          <w:sz w:val="70"/>
          <w:szCs w:val="70"/>
        </w:rPr>
      </w:pPr>
      <w:r>
        <w:rPr>
          <w:rFonts w:hint="eastAsia" w:ascii="黑体" w:hAnsi="黑体" w:eastAsia="黑体" w:cs="黑体"/>
          <w:b/>
          <w:kern w:val="0"/>
          <w:sz w:val="44"/>
          <w:szCs w:val="44"/>
        </w:rPr>
        <w:t>第三部分 2020年度部门决算情况说明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2020年度收入总计6289.77万元，与2019年相比，减少793.22</w:t>
      </w:r>
      <w:r>
        <w:rPr>
          <w:rFonts w:ascii="Calibri" w:hAnsi="Calibri" w:eastAsia="仿宋" w:cs="Calibri"/>
          <w:color w:val="000000"/>
          <w:sz w:val="32"/>
          <w:szCs w:val="32"/>
        </w:rPr>
        <w:t> </w:t>
      </w:r>
      <w:r>
        <w:rPr>
          <w:rFonts w:ascii="仿宋" w:hAnsi="仿宋" w:eastAsia="仿宋" w:cs="仿宋"/>
          <w:color w:val="000000"/>
          <w:sz w:val="32"/>
          <w:szCs w:val="32"/>
        </w:rPr>
        <w:t>万元，减少11.2%，主要是因为顺应经济形势，精细化预算开支。</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2020年度支出总计6289.77万元，与2019年相比，减少11.2%，主要原因是量入为出，缩减不必要财政开支。</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二、收入决算情况说明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本年收入合计6072.49万元，其中：财政拨款收入5574.82万元，占91.8%；其他收入497.67万元，占8.2%。</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三、支出决算情况说明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本年支出合计5923.58万元，其中：基本支出2096.74万元，占35.4%；项目支出3826.84万元，占64.6%。</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四、财政拨款收入支出决算总体情况说明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2020年度财政拨款收入总计5782.75万元，与2019年相比，减少456.61万元</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减少7.32%，主要是减少不必要的财政拨款。</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2020年度财政拨款支出总计5782.75万元，与2019年相比，减少456.61万元，减少7.32%，主要原因是响应“过好财政紧日子”的号召，缩减财政开支，把钱用在刀刃上，优先保民生、保发展</w:t>
      </w:r>
      <w:bookmarkStart w:id="0" w:name="_GoBack"/>
      <w:bookmarkEnd w:id="0"/>
      <w:r>
        <w:rPr>
          <w:rFonts w:ascii="仿宋" w:hAnsi="仿宋" w:eastAsia="仿宋" w:cs="仿宋"/>
          <w:color w:val="000000"/>
          <w:sz w:val="32"/>
          <w:szCs w:val="32"/>
        </w:rPr>
        <w:t>。</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五、一般公共预算财政拨款支出决算情况说明</w:t>
      </w:r>
    </w:p>
    <w:p>
      <w:pPr>
        <w:pStyle w:val="12"/>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（一）财政拨款支出决算总体情况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2020年度财政拨款支出5358.43万元，占本年支出合计的90.46%，与2019年相比，财政拨款支出减少667.73万元，增长减少11.08%，主要是因为缩减财政开支，精细化财政拨款使用，优先重点工作，分清资金使用轻重缓急。</w:t>
      </w:r>
    </w:p>
    <w:p>
      <w:pPr>
        <w:pStyle w:val="12"/>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（二）财政拨款支出决算结构情况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度财政拨款支出5358.43万元，主要用于以下方面：一般公共服务（类）支出2578.44万元，占48.12%；公共安全支出3.87万元，占0.07%；文化旅游体育与传媒支出8.5万元，占0.16%；社会保障和就业支出2020.66万元，占37.71%；卫生健康支出63.67万元，占1.19%；节能环保支出6万元，占0.11%；城乡社区支出544.98万元，占10.17%；交通运输支出25万元，占0.47%；资源勘探工业信息等支出5万元，占0.09%；住房保障支出93.97万元，占1.75%；灾害防治及应急管理支出8.34万元，占0.16%。</w:t>
      </w:r>
    </w:p>
    <w:p>
      <w:pPr>
        <w:pStyle w:val="12"/>
        <w:keepNext w:val="0"/>
        <w:keepLines w:val="0"/>
        <w:pageBreakBefore w:val="0"/>
        <w:kinsoku/>
        <w:wordWrap/>
        <w:overflowPunct/>
        <w:topLinePunct w:val="0"/>
        <w:bidi w:val="0"/>
        <w:snapToGrid/>
        <w:spacing w:line="600" w:lineRule="exact"/>
        <w:ind w:firstLine="643" w:firstLineChars="200"/>
        <w:textAlignment w:val="auto"/>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（三）财政拨款支出决算具体情况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2020年度财政拨款支出年初预算数为5036.83万元，支出决算数为5358.43万元，完成年初预算的106.38%，其中：</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1、一般公共服务（类）人大事务（款）行政运行（项）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0万元，支出决算为9.65万元，决算数大于年初预算数的主要原因是：年初对该功能科目下的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2、一般公共服务（类）政府办公厅（室）及相关机构事务（款）行政运行（项）。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年初预算为1510.26万元，支出决算为1629.76万元，完成年初预算的107.91%，决算数大于年初预算数的主要原因是：人员经费增加，年中追加安排部分财政拨款预算。</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3、一般公共服务（类）政府办公厅（室）及相关机构事务（款）一般行政管理事务（项）。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3230.78万元，支出决算为831.98万元，完成年初预算的25.75%，决算数小于年初预算数的主要原因是：该科目核算单位项目支出，实际工作中的部分项目经费的用款指标从其他功能科目下达，街道严格按照指标使用列支。</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4、一般公共服务（类）统计信息事务（款）专项普查活动（项）。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33.6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5、一般公共服务（类）财政事务（款）一般行政管理事务（项）。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3.23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6、一般公共服务（类）纪检监察事务（款）一般行政管理事务（项）。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2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7、一般公共服务（类）党委办公厅（室）及相关机构事务（款）专项业务（项）。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15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8、一般公共服务（类）组织事务（款）一般行政管理事务（项）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39.53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9、一般公共服务（类）宣传事务（款）一般行政管理事务（项）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5.5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10、一般公共服务（类）市场监督管理事务（款）一般行政管理事务（项）。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6.2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11、一般公共服务（类）市场监督管理事务（款）市场主体管理（项）。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2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12、公共安全支出（类）武装警察部队（款）武装警察部队（项）。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2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13、公共安全支出（类）公安（款）一般行政管理事务（项）。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1.87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14、文化旅游体育与传媒支出（类）文化和旅游（款）图书馆（项）。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4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15、文化旅游体育与传媒（类）文化和旅游（款）其他文化和旅游支出（项）。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4.5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16、社会保障和就业支出（类）人力资源和社会保障管理事务（款）其他人力资源和社会保障管理事务支出（项）。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187.67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17、社会保障和就业支出（类）民政管理事务（款）一般行政管理事务（项）。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27.86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18、社会保障和就业支出（类）民政管理事务（款）基层政权和社区建设（项）。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992.08万元，决算数大于年初预算数的主要原因是：年初对该功能科目下的专项资金使用预算至2010302[即：一般公共服务（类）政府办公厅（室）及相关机构事务（款）一般行政管理事务（项）]科目；且本年有所追加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19、社会保障和就业支出（类）民政管理事务（款）其他民政管理事务支出（项）。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1.92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20、社会保障和就业支出（类）行政事业单位养老支出（款）行政单位离退休（项）。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年初预算为295.79万元，支出决算为315.76万元，完成年初预算的106.75%，决算数大于年初预算数的主要原因是：新增退休人员职业年金按实结算略有增加。</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21、社会保障和就业支出（类）就业补助（款）其他就业补助（项）。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17.07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22、社会保障和就业支出（类）抚恤（款）其他优抚支出（项）。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17.8万元，决算数大于年初预算数的主要原因是：年初对该功能科目下的专项资金使用预算至2010302[即：一般公共服务（类）政府办公厅（室）及相关机构事务（款）一般行政管理事务（项）]科目，且本年度有老干离世，进行了追加资金。</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23、社会保障和就业支出（类）退役安置（款）其他退役安置支出（项）。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142.93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24、社会保障和就业支出（类）社会福利（款）老年福利（项）。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263.8万元，决算数大于年初预算数的主要原因是：年初对该功能科目下的专项资金使用预算至2080501[即：社会保障和就业支出（类）行政事业单位离退休（款）归口管理的行政单位离退休（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25、社会保障和就业支出（类）残疾人事业（款）一般行政管理事务（项）。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4.75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26、社会保障和就业支出（类）残疾人事业（款）其他残疾人事业支出（项）。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5.05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27、社会保障和就业支出（类）临时救助（款）临时救助支出（项）。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25.59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28、社会保障和就业支出（类）退役军人管理事务（款）一般行政管理事务（项）。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1.8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29、社会保障和就业支出（类）退役军人管理事务（款）拥军优属（项）。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10.8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30、社会保障和就业支出（类）退役军人管理事务（款）其他退役军人事务管理支出（项）。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5.78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31、卫生健康支出（类）卫生健康管理事务（款）一般行政管理事务（项）。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2.22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32、卫生健康支出（类）公共卫生（款）疾病预防控制机构（项）。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36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33、卫生健康支出（类）公共卫生（款）采供血机构（项）。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0.95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34、卫生健康支出（类）公共卫生（款）重大公共卫生服务（项）。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10.41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35、卫生健康支出（类）公共卫生（款）其他公共卫生支出（项）。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5.32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36、卫生健康支出（类）计划生育事务（款）计划生育服务（项）。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5.35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37、卫生健康支出（类）计划生育事务（款）其他计划生育事务支出（项）。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3.41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38、节能环保支出（类）环境保护管理事务（款）其他环境保护管理事务支出（项）。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6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39、城乡社区支出（类）城乡社区管理事务（款）行政运行（项）。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46.24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40、城乡社区支出（类）城乡社区管理事务（款）一般行政管理事务（项）。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446.37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41、城乡社区支出（类）城乡社区公共设施（款）其他城乡社区公共设施支出（项）。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21.37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42、城乡社区支出（类）建设市场管理与监督（款）建设市场管理与监督（项）。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20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43、城乡社区支出（类）城乡社区管理事务（款）其他城乡社区支出（项）。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11万元，决算数大于年初预算数的主要原因是：年初对该功能科目下的专项资金使用预算至2010302[即：一般公共服务（类）政府办公厅（室）及相关机构事务（款）一般行政管理事务（项）]科目。</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44、交通运输（类）铁路运输（款）铁路安全（项）。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年初预算为0万元，支出决算为25万元，决算数大于年初预算数的主要原因是：本年度专项追加款项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45、资源勘探信息等支出（类）国有资产监管（款）其他国有资产监管支出（项）。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年初预算为0万元，支出决算为5万元，决算数大于年初预算数的主要原因是：年中追加公共专项资金。</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46、住房保障支出（类）住房改革支出（款）住房公积金（项）。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93.97万元，决算数大于年初预算数的主要原因是：该功能科目核算缴纳的住房公积金，年初于2010301[即：一般公共服务（类）政府办公厅（室）及相关机构事务（款）行政运行（项）]科目核算。</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47、灾害防治及应急管理支出（类）消防事务（款）消防应急救援（项）。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年初预算为0万元，支出决算为4.34万元，决算数大于年初预算数的主要原因是：年中根据消防器材补充的需要，追加项目金额。</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48、灾害防治及应急管理支出（类）应急管理事务（款）一般行政管理事务（项）。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年初预算为0万元，支出决算为4万元，决算数大于年初预算数的主要原因是：本年度专项追加金额。</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六、一般公共预算财政拨款基本支出决算情况说明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度财政拨款基本支出2095.38万元，其中：人员经费1928.67万元，占基本支出的92.04%，主要包括基本工资、津贴补贴、奖金、社会保险、对个人和家庭的补助等；公用经费166.7万元，占基本支出的7.96%，主要包括办公费、印刷费、咨询费、手续费、水电费、工会经费、劳务费。</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七、一般公共预算财政拨款三公经费支出决算情况说明</w:t>
      </w:r>
    </w:p>
    <w:p>
      <w:pPr>
        <w:pStyle w:val="12"/>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（一）“三公”经费财政拨款支出决算总体情况说明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“三公”经费财政拨款支出预算为2</w:t>
      </w:r>
      <w:r>
        <w:rPr>
          <w:rFonts w:hint="eastAsia" w:ascii="仿宋" w:hAnsi="仿宋" w:eastAsia="仿宋" w:cs="仿宋"/>
          <w:color w:val="000000"/>
          <w:sz w:val="32"/>
          <w:szCs w:val="32"/>
          <w:lang w:val="en-US" w:eastAsia="zh-CN"/>
        </w:rPr>
        <w:t>万</w:t>
      </w:r>
      <w:r>
        <w:rPr>
          <w:rFonts w:ascii="仿宋" w:hAnsi="仿宋" w:eastAsia="仿宋" w:cs="仿宋"/>
          <w:color w:val="000000"/>
          <w:sz w:val="32"/>
          <w:szCs w:val="32"/>
        </w:rPr>
        <w:t>元，支出决算为0.58万元，完成预算的29%，其中：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600" w:lineRule="exact"/>
        <w:ind w:left="0" w:right="0" w:firstLine="640" w:firstLineChars="200"/>
        <w:jc w:val="both"/>
        <w:textAlignment w:val="auto"/>
        <w:rPr>
          <w:rFonts w:ascii="仿宋" w:hAnsi="仿宋" w:eastAsia="仿宋" w:cs="仿宋"/>
          <w:color w:val="000000" w:themeColor="text1"/>
          <w:sz w:val="32"/>
          <w:szCs w:val="32"/>
          <w:highlight w:val="none"/>
          <w14:textFill>
            <w14:solidFill>
              <w14:schemeClr w14:val="tx1"/>
            </w14:solidFill>
          </w14:textFill>
        </w:rPr>
      </w:pPr>
      <w:r>
        <w:rPr>
          <w:rFonts w:ascii="仿宋" w:hAnsi="仿宋" w:eastAsia="仿宋" w:cs="仿宋"/>
          <w:color w:val="000000"/>
          <w:sz w:val="32"/>
          <w:szCs w:val="32"/>
        </w:rPr>
        <w:t>因公出国（境）费支出预算为0万元，支出决算为0万元，与预算相符，本年无因公出国（境）人员。</w:t>
      </w:r>
      <w:r>
        <w:rPr>
          <w:rFonts w:hint="eastAsia" w:ascii="仿宋" w:hAnsi="仿宋" w:eastAsia="仿宋" w:cs="仿宋"/>
          <w:i w:val="0"/>
          <w:iCs w:val="0"/>
          <w:caps w:val="0"/>
          <w:color w:val="000000" w:themeColor="text1"/>
          <w:spacing w:val="0"/>
          <w:sz w:val="32"/>
          <w:szCs w:val="32"/>
          <w:highlight w:val="none"/>
          <w:shd w:val="clear" w:fill="FFFFFF"/>
          <w14:textFill>
            <w14:solidFill>
              <w14:schemeClr w14:val="tx1"/>
            </w14:solidFill>
          </w14:textFill>
        </w:rPr>
        <w:t>主要原因是无出国（境）任务安排。</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公务接待费支出预算1万元，支出决算为0万元，完成预算的0%，</w:t>
      </w:r>
      <w:r>
        <w:rPr>
          <w:rFonts w:hint="eastAsia" w:ascii="仿宋" w:hAnsi="仿宋" w:eastAsia="仿宋" w:cs="仿宋"/>
          <w:color w:val="000000" w:themeColor="text1"/>
          <w:sz w:val="32"/>
          <w:szCs w:val="32"/>
          <w14:textFill>
            <w14:solidFill>
              <w14:schemeClr w14:val="tx1"/>
            </w14:solidFill>
          </w14:textFill>
        </w:rPr>
        <w:t>决算数小于年初预算数的主要原因是：无公务接待支出。</w:t>
      </w:r>
      <w:r>
        <w:rPr>
          <w:rFonts w:ascii="仿宋" w:hAnsi="仿宋" w:eastAsia="仿宋" w:cs="仿宋"/>
          <w:color w:val="000000" w:themeColor="text1"/>
          <w:sz w:val="32"/>
          <w:szCs w:val="32"/>
          <w14:textFill>
            <w14:solidFill>
              <w14:schemeClr w14:val="tx1"/>
            </w14:solidFill>
          </w14:textFill>
        </w:rPr>
        <w:t>与上年相比减少0.22万元，</w:t>
      </w:r>
      <w:r>
        <w:rPr>
          <w:rFonts w:hint="eastAsia" w:ascii="仿宋" w:hAnsi="仿宋" w:eastAsia="仿宋" w:cs="仿宋"/>
          <w:color w:val="000000" w:themeColor="text1"/>
          <w:sz w:val="32"/>
          <w:szCs w:val="32"/>
          <w14:textFill>
            <w14:solidFill>
              <w14:schemeClr w14:val="tx1"/>
            </w14:solidFill>
          </w14:textFill>
        </w:rPr>
        <w:t>减少</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%，主要</w:t>
      </w:r>
      <w:r>
        <w:rPr>
          <w:rFonts w:ascii="仿宋" w:hAnsi="仿宋" w:eastAsia="仿宋" w:cs="仿宋"/>
          <w:color w:val="000000" w:themeColor="text1"/>
          <w:sz w:val="32"/>
          <w:szCs w:val="32"/>
          <w14:textFill>
            <w14:solidFill>
              <w14:schemeClr w14:val="tx1"/>
            </w14:solidFill>
          </w14:textFill>
        </w:rPr>
        <w:t>原因是本年度未发生</w:t>
      </w:r>
      <w:r>
        <w:rPr>
          <w:rFonts w:ascii="仿宋" w:hAnsi="仿宋" w:eastAsia="仿宋" w:cs="仿宋"/>
          <w:color w:val="000000"/>
          <w:sz w:val="32"/>
          <w:szCs w:val="32"/>
        </w:rPr>
        <w:t>公务接待事项。</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公务用车购置费及运行维护费支出预算为1万元，支出决算为0.58万元，完成预算的58%，决算数小于年初预算数的主要原因是厉行节约，严格控制公务用车使用；与上年相比增加0.37万元，增长56.76%</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增长的主要原因是本年度增加保险及车辆维修维护费用。</w:t>
      </w:r>
    </w:p>
    <w:p>
      <w:pPr>
        <w:pStyle w:val="12"/>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（二）“三公”经费财政拨款支出决算具体情况说明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2020年度“三公”经费财政拨款支出决算中，公务接待费支出决算0万元，占0 %，因公出国（境）费支出决算0万元，占0%，公务用车购置费及运行维护费支出决算0.58万元，占100 %。其中：</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1、因公出国（境）费支出决算为0万元，全年安排因公出国（境）团组0个，累计0人次</w:t>
      </w:r>
      <w:r>
        <w:rPr>
          <w:rFonts w:hint="eastAsia" w:ascii="仿宋" w:hAnsi="仿宋" w:eastAsia="仿宋" w:cs="仿宋"/>
          <w:color w:val="000000"/>
          <w:sz w:val="32"/>
          <w:szCs w:val="32"/>
        </w:rPr>
        <w:t>。</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2、公务接待费支出决算为0万元，全年共接待来访团组0个、来宾0人次。</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3、公务用车购置费及运行维护费支出决算为0.58万元，其中：公务用车购置费0万元。公务用车运行维护费0.58万元，主要是燃料费、维护费支出，截至2020年</w:t>
      </w:r>
      <w:r>
        <w:rPr>
          <w:rFonts w:ascii="Calibri" w:hAnsi="Calibri" w:eastAsia="仿宋" w:cs="Calibri"/>
          <w:color w:val="000000"/>
          <w:sz w:val="32"/>
          <w:szCs w:val="32"/>
        </w:rPr>
        <w:t> </w:t>
      </w:r>
      <w:r>
        <w:rPr>
          <w:rFonts w:ascii="仿宋" w:hAnsi="仿宋" w:eastAsia="仿宋" w:cs="仿宋"/>
          <w:color w:val="000000"/>
          <w:sz w:val="32"/>
          <w:szCs w:val="32"/>
        </w:rPr>
        <w:t>12月31日，我单位开支财政拨款的公务用车保有量为1辆。</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八、政府性基金预算收入支出决算情况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2020年度政府性基金预算财政拨款收入100万元；年初结转和结余0万元；支出100万元，其中基本支出0万元，项目支出100万元；年末结转和结余0万元。</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九、关于</w:t>
      </w:r>
      <w:r>
        <w:rPr>
          <w:rFonts w:hint="eastAsia" w:hAnsi="黑体" w:cs="Times New Roman"/>
          <w:color w:val="auto"/>
          <w:sz w:val="32"/>
          <w:szCs w:val="32"/>
        </w:rPr>
        <w:t>2020</w:t>
      </w:r>
      <w:r>
        <w:rPr>
          <w:rFonts w:hAnsi="黑体" w:cs="Times New Roman"/>
          <w:color w:val="auto"/>
          <w:sz w:val="32"/>
          <w:szCs w:val="32"/>
        </w:rPr>
        <w:t>年度预算绩效情况说明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我单位围绕招商引资、协税护税、基层党建、文明创建、城市管理、劳动保障、科教文卫、安全生产等开展工作，各项工作目标任务圆满完成，促进了区域经济和社会各项事业的全面发展，绩效评价详情见附件。</w:t>
      </w:r>
    </w:p>
    <w:p>
      <w:pPr>
        <w:pStyle w:val="12"/>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十、其他重要事项情况说明</w:t>
      </w:r>
    </w:p>
    <w:p>
      <w:pPr>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（一）机关运行经费支出情况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本部门2020年度机关运行经费支出166.7万元，比年初预算数增加16.7万元，增长11.13 %。主要原因是：食堂用餐人员含两保、三员等区聘街用人员，年初运行经费预算按照机关在职人员人数进行估计，故决算数略有增加。</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3" w:firstLineChars="200"/>
        <w:textAlignment w:val="auto"/>
        <w:rPr>
          <w:rFonts w:ascii="仿宋" w:hAnsi="仿宋" w:eastAsia="仿宋" w:cs="仿宋"/>
          <w:color w:val="000000"/>
          <w:sz w:val="32"/>
          <w:szCs w:val="32"/>
        </w:rPr>
      </w:pPr>
      <w:r>
        <w:rPr>
          <w:rFonts w:ascii="仿宋" w:hAnsi="仿宋" w:eastAsia="仿宋" w:cs="仿宋"/>
          <w:b/>
          <w:sz w:val="32"/>
          <w:szCs w:val="32"/>
        </w:rPr>
        <w:t>（二）一般性支出情况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2020年本部门开支会议费0万元；开支培训费4.27万元，其中，用于开展面点师技能培训1.57万元，人数370人，内容为强化面点制作技能，促进辖区就业；人口普查培训1.5万元，人数102人，内容为人口普查工作安排；应急培训1.2万元，人数207人，内容为提升辖区居民防灾减灾意识和能力。举办节庆、晚会、论坛、赛事活动等活动，开支5.56万元，其中：1、党建读书活动开支3.38万元，活动内容：分享读书心得，营造良好读书氛围；2、政协助学活动开支0.34万元，活动内容：赠送学习文具；3、重阳节活动开支1.84万元，活动内容：组织单位老干开展有益身心的娱乐活动，丰富老年生活。</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3" w:firstLineChars="200"/>
        <w:textAlignment w:val="auto"/>
        <w:rPr>
          <w:rFonts w:ascii="仿宋" w:hAnsi="仿宋" w:eastAsia="仿宋" w:cs="仿宋"/>
          <w:color w:val="000000"/>
          <w:sz w:val="32"/>
          <w:szCs w:val="32"/>
        </w:rPr>
      </w:pPr>
      <w:r>
        <w:rPr>
          <w:rFonts w:ascii="仿宋" w:hAnsi="仿宋" w:eastAsia="仿宋" w:cs="仿宋"/>
          <w:b/>
          <w:sz w:val="32"/>
          <w:szCs w:val="32"/>
        </w:rPr>
        <w:t>（三）政府采购支出情况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本部门2020年度政府采购支出总额252.55万元，其中：政府采购货物支出1.65万元、政府采购工程支出0万元、政府采购服务支出250.9万元。授予中小企业合同金额0万元，占政府采购支出总额的0%，其中：授予小微企业合同金额0万元，占政府采购支出总额的0%。</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3" w:firstLineChars="200"/>
        <w:textAlignment w:val="auto"/>
        <w:rPr>
          <w:rFonts w:ascii="仿宋" w:hAnsi="仿宋" w:eastAsia="仿宋" w:cs="仿宋"/>
          <w:color w:val="000000"/>
          <w:sz w:val="32"/>
          <w:szCs w:val="32"/>
        </w:rPr>
      </w:pPr>
      <w:r>
        <w:rPr>
          <w:rFonts w:ascii="仿宋" w:hAnsi="仿宋" w:eastAsia="仿宋" w:cs="仿宋"/>
          <w:b/>
          <w:sz w:val="32"/>
          <w:szCs w:val="32"/>
        </w:rPr>
        <w:t>（四）国有资产占用情况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截至2020年12月31日，本单位共有车辆12辆，其中，领导干部用车1辆、机要通信用车0辆、应急保障用车0辆、执法执勤用车6辆、特种专业技术用车2辆、其他用车3辆，其他用车主要是路面养护车；单位价值50万元以上通用设备0台（套）；单位价值100万元以上专用设备0台（套）。</w:t>
      </w:r>
    </w:p>
    <w:p>
      <w:pPr>
        <w:keepNext w:val="0"/>
        <w:keepLines w:val="0"/>
        <w:pageBreakBefore w:val="0"/>
        <w:widowControl/>
        <w:kinsoku/>
        <w:wordWrap/>
        <w:overflowPunct/>
        <w:topLinePunct w:val="0"/>
        <w:bidi w:val="0"/>
        <w:snapToGrid/>
        <w:spacing w:line="600" w:lineRule="exact"/>
        <w:jc w:val="center"/>
        <w:textAlignment w:val="auto"/>
        <w:rPr>
          <w:rFonts w:hint="eastAsia" w:eastAsia="方正小标宋_GBK"/>
          <w:bCs/>
          <w:kern w:val="0"/>
          <w:sz w:val="36"/>
          <w:szCs w:val="36"/>
        </w:rPr>
      </w:pPr>
    </w:p>
    <w:p>
      <w:pPr>
        <w:keepNext w:val="0"/>
        <w:keepLines w:val="0"/>
        <w:pageBreakBefore w:val="0"/>
        <w:widowControl/>
        <w:kinsoku/>
        <w:wordWrap/>
        <w:overflowPunct/>
        <w:topLinePunct w:val="0"/>
        <w:bidi w:val="0"/>
        <w:snapToGrid/>
        <w:spacing w:line="600" w:lineRule="exact"/>
        <w:jc w:val="center"/>
        <w:textAlignment w:val="auto"/>
        <w:rPr>
          <w:rFonts w:hint="eastAsia" w:eastAsia="方正小标宋_GBK"/>
          <w:bCs/>
          <w:kern w:val="0"/>
          <w:sz w:val="36"/>
          <w:szCs w:val="36"/>
        </w:rPr>
      </w:pPr>
    </w:p>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bCs/>
          <w:kern w:val="0"/>
          <w:sz w:val="44"/>
          <w:szCs w:val="44"/>
        </w:rPr>
      </w:pPr>
      <w:r>
        <w:rPr>
          <w:rFonts w:hint="eastAsia" w:ascii="黑体" w:hAnsi="黑体" w:eastAsia="黑体" w:cs="黑体"/>
          <w:bCs/>
          <w:kern w:val="0"/>
          <w:sz w:val="44"/>
          <w:szCs w:val="44"/>
        </w:rPr>
        <w:t>第四部分 名词解释</w:t>
      </w:r>
    </w:p>
    <w:p>
      <w:pPr>
        <w:keepNext w:val="0"/>
        <w:keepLines w:val="0"/>
        <w:pageBreakBefore w:val="0"/>
        <w:kinsoku/>
        <w:wordWrap/>
        <w:overflowPunct/>
        <w:topLinePunct w:val="0"/>
        <w:bidi w:val="0"/>
        <w:snapToGrid/>
        <w:spacing w:line="600" w:lineRule="exact"/>
        <w:textAlignment w:val="auto"/>
        <w:rPr>
          <w:rFonts w:hint="eastAsia"/>
        </w:rPr>
      </w:pPr>
    </w:p>
    <w:p>
      <w:pPr>
        <w:keepNext w:val="0"/>
        <w:keepLines w:val="0"/>
        <w:pageBreakBefore w:val="0"/>
        <w:widowControl/>
        <w:shd w:val="clear" w:color="auto" w:fill="FFFFFF"/>
        <w:kinsoku/>
        <w:wordWrap/>
        <w:overflowPunct/>
        <w:topLinePunct w:val="0"/>
        <w:bidi w:val="0"/>
        <w:snapToGrid/>
        <w:spacing w:line="600" w:lineRule="exact"/>
        <w:ind w:firstLine="420" w:firstLineChars="200"/>
        <w:jc w:val="left"/>
        <w:textAlignment w:val="auto"/>
        <w:rPr>
          <w:rFonts w:hint="eastAsia" w:ascii="仿宋" w:hAnsi="仿宋" w:eastAsia="仿宋" w:cs="仿宋"/>
          <w:sz w:val="32"/>
          <w:szCs w:val="32"/>
        </w:rPr>
      </w:pPr>
      <w:r>
        <w:rPr>
          <w:rFonts w:hint="eastAsia"/>
        </w:rPr>
        <w:t xml:space="preserve">  </w:t>
      </w:r>
      <w:r>
        <w:rPr>
          <w:rFonts w:hint="eastAsia" w:ascii="仿宋" w:hAnsi="仿宋" w:eastAsia="仿宋" w:cs="仿宋"/>
          <w:sz w:val="32"/>
          <w:szCs w:val="32"/>
        </w:rPr>
        <w:t>财政事务：反映财政部门用于预算改革、财政国库集中收付业务、财政监察、信息化建设等财政事务方面的支出。</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基本支出：指为保障机构正常运转、完成日常工作任务而发生的各项支出，包括人员支出和公用支出。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项目支出：指在基本支出以外为完成相关行政任务和事业发展目标所发生的各项支出。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“三公”经费：指通过财政拨款资金安排的因公出国（境）费、公务用车购置及运行费和公务接待费支出。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rPr>
      </w:pPr>
      <w:r>
        <w:rPr>
          <w:rFonts w:hint="eastAsia" w:ascii="仿宋" w:hAnsi="仿宋" w:eastAsia="仿宋" w:cs="仿宋"/>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numPr>
          <w:ilvl w:val="0"/>
          <w:numId w:val="1"/>
        </w:numPr>
        <w:kinsoku/>
        <w:wordWrap/>
        <w:overflowPunct/>
        <w:topLinePunct w:val="0"/>
        <w:bidi w:val="0"/>
        <w:snapToGrid/>
        <w:spacing w:line="600" w:lineRule="exact"/>
        <w:jc w:val="center"/>
        <w:textAlignment w:val="auto"/>
        <w:rPr>
          <w:rFonts w:hint="eastAsia" w:ascii="黑体" w:hAnsi="黑体" w:eastAsia="黑体" w:cs="黑体"/>
          <w:bCs/>
          <w:kern w:val="0"/>
          <w:sz w:val="44"/>
          <w:szCs w:val="44"/>
        </w:rPr>
      </w:pPr>
      <w:r>
        <w:rPr>
          <w:rFonts w:hint="eastAsia" w:ascii="黑体" w:hAnsi="黑体" w:eastAsia="黑体" w:cs="黑体"/>
          <w:bCs/>
          <w:kern w:val="0"/>
          <w:sz w:val="44"/>
          <w:szCs w:val="44"/>
        </w:rPr>
        <w:t>附件</w:t>
      </w:r>
    </w:p>
    <w:p>
      <w:pPr>
        <w:keepNext w:val="0"/>
        <w:keepLines w:val="0"/>
        <w:pageBreakBefore w:val="0"/>
        <w:kinsoku/>
        <w:wordWrap/>
        <w:overflowPunct/>
        <w:topLinePunct w:val="0"/>
        <w:bidi w:val="0"/>
        <w:snapToGrid/>
        <w:spacing w:line="600" w:lineRule="exact"/>
        <w:textAlignment w:val="auto"/>
        <w:rPr>
          <w:rFonts w:hint="eastAsia" w:ascii="黑体" w:hAnsi="黑体" w:eastAsia="黑体" w:cs="黑体"/>
          <w:bCs/>
          <w:kern w:val="0"/>
          <w:sz w:val="44"/>
          <w:szCs w:val="44"/>
        </w:rPr>
      </w:pPr>
    </w:p>
    <w:p>
      <w:pPr>
        <w:keepNext w:val="0"/>
        <w:keepLines w:val="0"/>
        <w:pageBreakBefore w:val="0"/>
        <w:widowControl/>
        <w:kinsoku/>
        <w:wordWrap/>
        <w:overflowPunct/>
        <w:topLinePunct w:val="0"/>
        <w:bidi w:val="0"/>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2020年度部门整体支出绩效评价报告</w:t>
      </w:r>
    </w:p>
    <w:p>
      <w:pPr>
        <w:keepNext w:val="0"/>
        <w:keepLines w:val="0"/>
        <w:pageBreakBefore w:val="0"/>
        <w:kinsoku/>
        <w:wordWrap/>
        <w:overflowPunct/>
        <w:topLinePunct w:val="0"/>
        <w:bidi w:val="0"/>
        <w:snapToGrid/>
        <w:spacing w:line="600" w:lineRule="exact"/>
        <w:textAlignment w:val="auto"/>
        <w:rPr>
          <w:rFonts w:hint="eastAsia" w:ascii="黑体" w:hAnsi="黑体" w:eastAsia="黑体" w:cs="黑体"/>
          <w:bCs/>
          <w:kern w:val="0"/>
          <w:sz w:val="44"/>
          <w:szCs w:val="44"/>
        </w:rPr>
      </w:pPr>
    </w:p>
    <w:p>
      <w:pPr>
        <w:pStyle w:val="5"/>
        <w:widowControl/>
        <w:shd w:val="clear" w:color="auto" w:fill="FFFFFF"/>
        <w:spacing w:beforeAutospacing="0" w:afterAutospacing="0" w:line="432" w:lineRule="atLeast"/>
        <w:ind w:firstLine="480" w:firstLineChars="200"/>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WExNGE0MmQ0YjUwOTZhNTVhMjQ2ZjcwMzgwMGEifQ=="/>
  </w:docVars>
  <w:rsids>
    <w:rsidRoot w:val="00A61107"/>
    <w:rsid w:val="002B09F3"/>
    <w:rsid w:val="00493133"/>
    <w:rsid w:val="005C303B"/>
    <w:rsid w:val="009777EC"/>
    <w:rsid w:val="009C6511"/>
    <w:rsid w:val="00A61107"/>
    <w:rsid w:val="00AE0A66"/>
    <w:rsid w:val="00CE1FBA"/>
    <w:rsid w:val="00D4553C"/>
    <w:rsid w:val="00DF3AFE"/>
    <w:rsid w:val="00E2555E"/>
    <w:rsid w:val="131A79B8"/>
    <w:rsid w:val="3B9C4521"/>
    <w:rsid w:val="44217B2C"/>
    <w:rsid w:val="75686BE3"/>
    <w:rsid w:val="756F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spacing w:after="120"/>
    </w:pPr>
    <w:rPr>
      <w:rFonts w:ascii="Times New Roman" w:hAnsi="Times New Roman" w:eastAsia="宋体" w:cs="Times New Roman"/>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34"/>
    <w:pPr>
      <w:ind w:firstLine="420" w:firstLineChars="200"/>
    </w:pPr>
    <w:rPr>
      <w:rFonts w:ascii="Calibri" w:hAnsi="Calibri" w:eastAsia="宋体" w:cs="Times New Roman"/>
      <w:szCs w:val="22"/>
    </w:rPr>
  </w:style>
  <w:style w:type="paragraph" w:customStyle="1" w:styleId="1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3">
    <w:name w:val="正文文本 字符"/>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10708</Words>
  <Characters>11654</Characters>
  <Lines>84</Lines>
  <Paragraphs>23</Paragraphs>
  <TotalTime>4</TotalTime>
  <ScaleCrop>false</ScaleCrop>
  <LinksUpToDate>false</LinksUpToDate>
  <CharactersWithSpaces>11677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2022-06-29T01:24:00Z</dcterms:created>
  <dc:creator>朱嘉</dc:creator>
  <cp:lastModifiedBy>田琢琢</cp:lastModifiedBy>
  <dcterms:modified xsi:type="dcterms:W3CDTF">2022-08-18T09:11:59Z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4F3904E3D6444C87A13116E377E06248</vt:lpwstr>
  </property>
</Properties>
</file>