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方正小标宋简体"/>
          <w:sz w:val="13"/>
          <w:szCs w:val="13"/>
          <w:lang w:eastAsia="zh-CN"/>
        </w:rPr>
      </w:pPr>
      <w:bookmarkStart w:id="123" w:name="_GoBack"/>
      <w:bookmarkEnd w:id="123"/>
    </w:p>
    <w:p>
      <w:pPr>
        <w:jc w:val="center"/>
        <w:rPr>
          <w:rFonts w:hint="eastAsia" w:ascii="Times New Roman" w:hAnsi="Times New Roman" w:eastAsia="方正小标宋简体" w:cs="方正小标宋简体"/>
          <w:sz w:val="13"/>
          <w:szCs w:val="13"/>
          <w:lang w:eastAsia="zh-CN"/>
        </w:rPr>
      </w:pPr>
    </w:p>
    <w:p>
      <w:pPr>
        <w:jc w:val="center"/>
        <w:rPr>
          <w:rFonts w:hint="eastAsia" w:ascii="Times New Roman" w:hAnsi="Times New Roman" w:eastAsia="方正小标宋简体" w:cs="方正小标宋简体"/>
          <w:spacing w:val="20"/>
          <w:sz w:val="48"/>
          <w:szCs w:val="48"/>
          <w:lang w:eastAsia="zh-CN"/>
        </w:rPr>
      </w:pPr>
      <w:r>
        <w:rPr>
          <w:rFonts w:hint="eastAsia" w:ascii="Times New Roman" w:hAnsi="Times New Roman" w:eastAsia="方正小标宋简体" w:cs="方正小标宋简体"/>
          <w:spacing w:val="20"/>
          <w:sz w:val="48"/>
          <w:szCs w:val="48"/>
          <w:lang w:eastAsia="zh-CN"/>
        </w:rPr>
        <w:t>开福区产业发展惠企政策</w:t>
      </w:r>
    </w:p>
    <w:p>
      <w:pPr>
        <w:jc w:val="center"/>
        <w:rPr>
          <w:rFonts w:hint="eastAsia" w:ascii="Times New Roman" w:hAnsi="Times New Roman" w:eastAsia="方正小标宋简体" w:cs="方正小标宋简体"/>
          <w:sz w:val="20"/>
          <w:szCs w:val="20"/>
          <w:lang w:eastAsia="zh-CN"/>
        </w:rPr>
      </w:pPr>
    </w:p>
    <w:p>
      <w:pPr>
        <w:jc w:val="center"/>
        <w:rPr>
          <w:rFonts w:hint="eastAsia" w:ascii="Times New Roman" w:hAnsi="Times New Roman" w:eastAsia="方正小标宋简体" w:cs="方正小标宋简体"/>
          <w:sz w:val="20"/>
          <w:szCs w:val="20"/>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小标宋简体" w:cs="方正小标宋简体"/>
          <w:sz w:val="20"/>
          <w:szCs w:val="20"/>
          <w:lang w:eastAsia="zh-CN"/>
        </w:rPr>
      </w:pPr>
    </w:p>
    <w:p>
      <w:pPr>
        <w:jc w:val="center"/>
        <w:rPr>
          <w:rFonts w:hint="eastAsia" w:ascii="Times New Roman" w:hAnsi="Times New Roman" w:eastAsia="方正小标宋简体" w:cs="方正小标宋简体"/>
          <w:sz w:val="20"/>
          <w:szCs w:val="20"/>
          <w:lang w:eastAsia="zh-CN"/>
        </w:rPr>
      </w:pPr>
    </w:p>
    <w:p>
      <w:pPr>
        <w:jc w:val="center"/>
        <w:rPr>
          <w:rFonts w:hint="eastAsia" w:ascii="Times New Roman" w:hAnsi="Times New Roman" w:eastAsia="方正小标宋简体" w:cs="方正小标宋简体"/>
          <w:sz w:val="20"/>
          <w:szCs w:val="20"/>
          <w:lang w:eastAsia="zh-CN"/>
        </w:rPr>
      </w:pPr>
    </w:p>
    <w:p>
      <w:pPr>
        <w:jc w:val="center"/>
        <w:rPr>
          <w:rFonts w:hint="eastAsia" w:ascii="Times New Roman" w:hAnsi="Times New Roman" w:eastAsia="华文新魏" w:cs="华文新魏"/>
          <w:w w:val="110"/>
          <w:sz w:val="90"/>
          <w:szCs w:val="90"/>
          <w:lang w:eastAsia="zh-CN"/>
        </w:rPr>
      </w:pPr>
      <w:r>
        <w:rPr>
          <w:rFonts w:hint="eastAsia" w:ascii="Times New Roman" w:hAnsi="Times New Roman" w:eastAsia="华文新魏" w:cs="华文新魏"/>
          <w:w w:val="110"/>
          <w:sz w:val="90"/>
          <w:szCs w:val="90"/>
          <w:lang w:eastAsia="zh-CN"/>
        </w:rPr>
        <w:t>汇</w:t>
      </w:r>
    </w:p>
    <w:p>
      <w:pPr>
        <w:jc w:val="center"/>
        <w:rPr>
          <w:rFonts w:hint="eastAsia" w:ascii="Times New Roman" w:hAnsi="Times New Roman" w:eastAsia="华文新魏" w:cs="华文新魏"/>
          <w:w w:val="110"/>
          <w:sz w:val="90"/>
          <w:szCs w:val="90"/>
          <w:lang w:eastAsia="zh-CN"/>
        </w:rPr>
      </w:pPr>
    </w:p>
    <w:p>
      <w:pPr>
        <w:jc w:val="center"/>
        <w:rPr>
          <w:rFonts w:hint="eastAsia" w:ascii="Times New Roman" w:hAnsi="Times New Roman" w:eastAsia="华文新魏" w:cs="华文新魏"/>
          <w:w w:val="110"/>
          <w:sz w:val="90"/>
          <w:szCs w:val="90"/>
          <w:lang w:eastAsia="zh-CN"/>
        </w:rPr>
      </w:pPr>
      <w:r>
        <w:rPr>
          <w:rFonts w:hint="eastAsia" w:ascii="Times New Roman" w:hAnsi="Times New Roman" w:eastAsia="华文新魏" w:cs="华文新魏"/>
          <w:w w:val="110"/>
          <w:sz w:val="90"/>
          <w:szCs w:val="90"/>
          <w:lang w:eastAsia="zh-CN"/>
        </w:rPr>
        <w:t>编</w:t>
      </w:r>
    </w:p>
    <w:p>
      <w:pPr>
        <w:jc w:val="center"/>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小标宋简体" w:cs="方正小标宋简体"/>
          <w:sz w:val="44"/>
          <w:szCs w:val="44"/>
          <w:lang w:eastAsia="zh-CN"/>
        </w:rPr>
      </w:pPr>
    </w:p>
    <w:p>
      <w:pPr>
        <w:jc w:val="center"/>
        <w:rPr>
          <w:rFonts w:hint="default" w:ascii="Times New Roman" w:hAnsi="Times New Roman" w:eastAsia="楷体_GB2312" w:cs="Times New Roman"/>
          <w:b/>
          <w:bCs/>
          <w:sz w:val="36"/>
          <w:szCs w:val="36"/>
          <w:lang w:eastAsia="zh-CN"/>
        </w:rPr>
      </w:pPr>
      <w:r>
        <w:rPr>
          <w:rFonts w:hint="default" w:ascii="Times New Roman" w:hAnsi="Times New Roman" w:eastAsia="楷体_GB2312" w:cs="Times New Roman"/>
          <w:b/>
          <w:bCs/>
          <w:sz w:val="36"/>
          <w:szCs w:val="36"/>
          <w:lang w:eastAsia="zh-CN"/>
        </w:rPr>
        <w:t>二〇二一年</w:t>
      </w:r>
    </w:p>
    <w:p>
      <w:pPr>
        <w:rPr>
          <w:rFonts w:hint="eastAsia" w:ascii="Times New Roman" w:hAnsi="Times New Roman" w:eastAsia="方正小标宋简体" w:cs="方正小标宋简体"/>
          <w:sz w:val="40"/>
          <w:szCs w:val="40"/>
          <w:lang w:eastAsia="zh-CN"/>
        </w:rPr>
      </w:pPr>
      <w:r>
        <w:rPr>
          <w:rFonts w:hint="eastAsia" w:ascii="Times New Roman" w:hAnsi="Times New Roman" w:eastAsia="方正小标宋简体" w:cs="方正小标宋简体"/>
          <w:sz w:val="40"/>
          <w:szCs w:val="40"/>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0"/>
          <w:szCs w:val="40"/>
          <w:lang w:eastAsia="zh-CN"/>
        </w:rPr>
      </w:pPr>
      <w:r>
        <w:rPr>
          <w:rFonts w:hint="eastAsia" w:ascii="Times New Roman" w:hAnsi="Times New Roman" w:eastAsia="方正小标宋简体" w:cs="方正小标宋简体"/>
          <w:sz w:val="40"/>
          <w:szCs w:val="40"/>
          <w:lang w:eastAsia="zh-CN"/>
        </w:rPr>
        <w:t>序</w:t>
      </w:r>
      <w:r>
        <w:rPr>
          <w:rFonts w:hint="eastAsia" w:ascii="Times New Roman" w:hAnsi="Times New Roman" w:eastAsia="方正小标宋简体" w:cs="方正小标宋简体"/>
          <w:sz w:val="40"/>
          <w:szCs w:val="40"/>
          <w:lang w:val="en-US" w:eastAsia="zh-CN"/>
        </w:rPr>
        <w:t xml:space="preserve">  </w:t>
      </w:r>
      <w:r>
        <w:rPr>
          <w:rFonts w:hint="eastAsia" w:ascii="Times New Roman" w:hAnsi="Times New Roman" w:eastAsia="方正小标宋简体" w:cs="方正小标宋简体"/>
          <w:sz w:val="40"/>
          <w:szCs w:val="40"/>
          <w:lang w:eastAsia="zh-CN"/>
        </w:rPr>
        <w:t>言</w:t>
      </w:r>
    </w:p>
    <w:p>
      <w:pPr>
        <w:jc w:val="center"/>
        <w:rPr>
          <w:rFonts w:hint="eastAsia" w:ascii="Times New Roman" w:hAnsi="Times New Roman" w:eastAsia="方正小标宋简体" w:cs="方正小标宋简体"/>
          <w:sz w:val="13"/>
          <w:szCs w:val="13"/>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lang w:eastAsia="zh-CN"/>
        </w:rPr>
        <w:t>为贯彻落实中央、省、市稳增长各项政策措施，方便服务企业，扶持实体经济发展，让惠企政策透明化、公开化，我区对目前已出台的产业类惠企政策进行选取汇编，以帮助企业更好地学习政策、掌握政策、用好政策、用足政策，将政策优势转化为发展优势。开福区归集全区</w:t>
      </w:r>
      <w:r>
        <w:rPr>
          <w:rFonts w:hint="eastAsia" w:ascii="Times New Roman" w:hAnsi="Times New Roman" w:eastAsia="仿宋_GB2312" w:cs="仿宋_GB2312"/>
          <w:sz w:val="28"/>
          <w:szCs w:val="28"/>
          <w:lang w:val="en-US" w:eastAsia="zh-CN"/>
        </w:rPr>
        <w:t>20余个产业政策，汇总形成</w:t>
      </w:r>
      <w:r>
        <w:rPr>
          <w:rFonts w:hint="eastAsia" w:ascii="Times New Roman" w:hAnsi="Times New Roman" w:eastAsia="仿宋_GB2312" w:cs="仿宋_GB2312"/>
          <w:sz w:val="28"/>
          <w:szCs w:val="28"/>
          <w:lang w:eastAsia="zh-CN"/>
        </w:rPr>
        <w:t>《长沙市开福区经济发展奖励暂行办法》（开发〔</w:t>
      </w:r>
      <w:r>
        <w:rPr>
          <w:rFonts w:hint="eastAsia" w:ascii="Times New Roman" w:hAnsi="Times New Roman" w:eastAsia="仿宋_GB2312" w:cs="仿宋_GB2312"/>
          <w:sz w:val="28"/>
          <w:szCs w:val="28"/>
          <w:lang w:val="en-US" w:eastAsia="zh-CN"/>
        </w:rPr>
        <w:t>2020</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lang w:val="en-US" w:eastAsia="zh-CN"/>
        </w:rPr>
        <w:t>8号），针对软件业发展出台</w:t>
      </w:r>
      <w:r>
        <w:rPr>
          <w:rFonts w:hint="eastAsia" w:ascii="Times New Roman" w:hAnsi="Times New Roman" w:eastAsia="仿宋_GB2312" w:cs="仿宋_GB2312"/>
          <w:sz w:val="28"/>
          <w:szCs w:val="28"/>
          <w:lang w:eastAsia="zh-CN"/>
        </w:rPr>
        <w:t>《关于加快推进开福区软件和信息技术服务业高质量发展的若干措施》（开政办发〔</w:t>
      </w:r>
      <w:r>
        <w:rPr>
          <w:rFonts w:hint="eastAsia" w:ascii="Times New Roman" w:hAnsi="Times New Roman" w:eastAsia="仿宋_GB2312" w:cs="仿宋_GB2312"/>
          <w:sz w:val="28"/>
          <w:szCs w:val="28"/>
          <w:lang w:val="en-US" w:eastAsia="zh-CN"/>
        </w:rPr>
        <w:t>2021</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lang w:val="en-US" w:eastAsia="zh-CN"/>
        </w:rPr>
        <w:t>1号</w:t>
      </w:r>
      <w:r>
        <w:rPr>
          <w:rFonts w:hint="eastAsia" w:ascii="Times New Roman" w:hAnsi="Times New Roman" w:eastAsia="仿宋_GB2312" w:cs="仿宋_GB2312"/>
          <w:sz w:val="28"/>
          <w:szCs w:val="28"/>
          <w:lang w:eastAsia="zh-CN"/>
        </w:rPr>
        <w:t>），现将以上政策文件汇编成册，以供企业参阅。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28"/>
          <w:szCs w:val="28"/>
          <w:lang w:eastAsia="zh-CN"/>
        </w:rPr>
        <w:t>此次汇编旨在方便企业参考使用，如有新政策出台、存在遗漏未整理或与原政策文件有出入的情况，请以具体政策文件为准。今后，开福区将继续做好政策宣传和服务引导，深化改革创新，优化营商环境，为迈向“北强”而努力。</w:t>
      </w:r>
    </w:p>
    <w:p>
      <w:pPr>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br w:type="page"/>
      </w:r>
    </w:p>
    <w:p>
      <w:pPr>
        <w:jc w:val="center"/>
        <w:rPr>
          <w:rFonts w:hint="eastAsia" w:ascii="Times New Roman" w:hAnsi="Times New Roman" w:eastAsia="方正小标宋简体" w:cs="方正小标宋简体"/>
          <w:sz w:val="13"/>
          <w:szCs w:val="13"/>
          <w:lang w:eastAsia="zh-CN"/>
        </w:rPr>
      </w:pPr>
    </w:p>
    <w:p>
      <w:pPr>
        <w:jc w:val="center"/>
        <w:rPr>
          <w:rFonts w:hint="eastAsia" w:ascii="Times New Roman" w:hAnsi="Times New Roman" w:eastAsia="方正小标宋简体" w:cs="方正小标宋简体"/>
          <w:sz w:val="13"/>
          <w:szCs w:val="13"/>
          <w:lang w:eastAsia="zh-CN"/>
        </w:rPr>
      </w:pPr>
    </w:p>
    <w:p>
      <w:pPr>
        <w:jc w:val="center"/>
        <w:rPr>
          <w:rFonts w:hint="eastAsia" w:ascii="Times New Roman" w:hAnsi="Times New Roman" w:eastAsia="方正小标宋简体" w:cs="方正小标宋简体"/>
          <w:sz w:val="13"/>
          <w:szCs w:val="13"/>
          <w:lang w:eastAsia="zh-CN"/>
        </w:rPr>
      </w:pPr>
    </w:p>
    <w:p>
      <w:pPr>
        <w:jc w:val="center"/>
        <w:rPr>
          <w:rFonts w:hint="eastAsia" w:ascii="Times New Roman" w:hAnsi="Times New Roman" w:eastAsia="方正小标宋简体" w:cs="方正小标宋简体"/>
          <w:sz w:val="40"/>
          <w:szCs w:val="40"/>
          <w:lang w:eastAsia="zh-CN"/>
        </w:rPr>
      </w:pPr>
      <w:r>
        <w:rPr>
          <w:rFonts w:hint="eastAsia" w:ascii="Times New Roman" w:hAnsi="Times New Roman" w:eastAsia="方正小标宋简体" w:cs="方正小标宋简体"/>
          <w:sz w:val="40"/>
          <w:szCs w:val="40"/>
          <w:lang w:eastAsia="zh-CN"/>
        </w:rPr>
        <w:t>目</w:t>
      </w:r>
      <w:r>
        <w:rPr>
          <w:rFonts w:hint="eastAsia" w:ascii="Times New Roman" w:hAnsi="Times New Roman" w:eastAsia="方正小标宋简体" w:cs="方正小标宋简体"/>
          <w:sz w:val="40"/>
          <w:szCs w:val="40"/>
          <w:lang w:val="en-US" w:eastAsia="zh-CN"/>
        </w:rPr>
        <w:t xml:space="preserve">  </w:t>
      </w:r>
      <w:r>
        <w:rPr>
          <w:rFonts w:hint="eastAsia" w:ascii="Times New Roman" w:hAnsi="Times New Roman" w:eastAsia="方正小标宋简体" w:cs="方正小标宋简体"/>
          <w:sz w:val="40"/>
          <w:szCs w:val="40"/>
          <w:lang w:eastAsia="zh-CN"/>
        </w:rPr>
        <w:t>录</w:t>
      </w:r>
    </w:p>
    <w:p>
      <w:pPr>
        <w:rPr>
          <w:rFonts w:hint="eastAsia" w:ascii="Times New Roman" w:hAnsi="Times New Roman" w:eastAsia="仿宋_GB2312" w:cs="仿宋_GB2312"/>
          <w:sz w:val="28"/>
          <w:szCs w:val="28"/>
          <w:lang w:eastAsia="zh-CN"/>
        </w:rPr>
      </w:pPr>
    </w:p>
    <w:p>
      <w:pPr>
        <w:keepNext w:val="0"/>
        <w:keepLines w:val="0"/>
        <w:pageBreakBefore w:val="0"/>
        <w:widowControl w:val="0"/>
        <w:numPr>
          <w:ilvl w:val="0"/>
          <w:numId w:val="1"/>
        </w:numPr>
        <w:tabs>
          <w:tab w:val="right" w:leader="middleDot" w:pos="6300"/>
        </w:tabs>
        <w:kinsoku/>
        <w:wordWrap/>
        <w:overflowPunct/>
        <w:topLinePunct w:val="0"/>
        <w:autoSpaceDE/>
        <w:autoSpaceDN/>
        <w:bidi w:val="0"/>
        <w:adjustRightInd/>
        <w:snapToGrid/>
        <w:spacing w:line="700" w:lineRule="exact"/>
        <w:ind w:left="397" w:leftChars="0" w:hanging="397"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长沙市开福区经济发展奖励暂行办法</w:t>
      </w:r>
      <w:r>
        <w:rPr>
          <w:rFonts w:hint="eastAsia" w:ascii="Times New Roman" w:hAnsi="Times New Roman" w:eastAsia="仿宋_GB2312" w:cs="Times New Roman"/>
          <w:sz w:val="28"/>
          <w:szCs w:val="28"/>
          <w:lang w:val="en-US" w:eastAsia="zh-CN"/>
        </w:rPr>
        <w:tab/>
      </w:r>
      <w:r>
        <w:rPr>
          <w:rFonts w:hint="default" w:ascii="Times New Roman" w:hAnsi="Times New Roman" w:eastAsia="仿宋_GB2312" w:cs="Times New Roman"/>
          <w:sz w:val="28"/>
          <w:szCs w:val="28"/>
          <w:lang w:eastAsia="zh-CN"/>
        </w:rPr>
        <w:t>1</w:t>
      </w:r>
    </w:p>
    <w:p>
      <w:pPr>
        <w:keepNext w:val="0"/>
        <w:keepLines w:val="0"/>
        <w:pageBreakBefore w:val="0"/>
        <w:widowControl w:val="0"/>
        <w:numPr>
          <w:ilvl w:val="0"/>
          <w:numId w:val="1"/>
        </w:numPr>
        <w:tabs>
          <w:tab w:val="right" w:leader="middleDot" w:pos="6300"/>
        </w:tabs>
        <w:kinsoku/>
        <w:wordWrap/>
        <w:overflowPunct/>
        <w:topLinePunct w:val="0"/>
        <w:autoSpaceDE/>
        <w:autoSpaceDN/>
        <w:bidi w:val="0"/>
        <w:adjustRightInd/>
        <w:snapToGrid/>
        <w:spacing w:line="700" w:lineRule="exact"/>
        <w:ind w:left="397" w:leftChars="0" w:hanging="397"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关于加快推进开福区软件和信息技术服务业高质量发展的若干措施</w:t>
      </w:r>
      <w:r>
        <w:rPr>
          <w:rFonts w:hint="eastAsia" w:ascii="Times New Roman" w:hAnsi="Times New Roman" w:eastAsia="仿宋_GB2312" w:cs="Times New Roman"/>
          <w:sz w:val="28"/>
          <w:szCs w:val="28"/>
          <w:lang w:val="en-US" w:eastAsia="zh-CN"/>
        </w:rPr>
        <w:tab/>
      </w:r>
      <w:r>
        <w:rPr>
          <w:rFonts w:hint="default" w:ascii="Times New Roman" w:hAnsi="Times New Roman" w:eastAsia="仿宋_GB2312" w:cs="Times New Roman"/>
          <w:sz w:val="28"/>
          <w:szCs w:val="28"/>
          <w:lang w:eastAsia="zh-CN"/>
        </w:rPr>
        <w:t>30</w:t>
      </w:r>
    </w:p>
    <w:p>
      <w:pPr>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br w:type="page"/>
      </w:r>
    </w:p>
    <w:p>
      <w:pPr>
        <w:jc w:val="center"/>
        <w:rPr>
          <w:rFonts w:hint="eastAsia" w:ascii="Times New Roman" w:hAnsi="Times New Roman" w:eastAsia="方正小标宋简体" w:cs="方正小标宋简体"/>
          <w:sz w:val="44"/>
          <w:szCs w:val="44"/>
          <w:lang w:eastAsia="zh-CN"/>
        </w:rPr>
        <w:sectPr>
          <w:pgSz w:w="8390" w:h="11905"/>
          <w:pgMar w:top="1247" w:right="1020" w:bottom="1134" w:left="1020" w:header="851" w:footer="850" w:gutter="0"/>
          <w:pgNumType w:fmt="decimal"/>
          <w:cols w:space="0" w:num="1"/>
          <w:rtlGutter w:val="0"/>
          <w:docGrid w:type="lines" w:linePitch="321"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 xml:space="preserve"> </w:t>
      </w:r>
      <w:bookmarkStart w:id="0" w:name="_Toc2161"/>
      <w:bookmarkStart w:id="1" w:name="_Toc944"/>
      <w:bookmarkStart w:id="2" w:name="_Toc31144_WPSOffice_Level1"/>
      <w:bookmarkStart w:id="3" w:name="_Toc16973_WPSOffice_Level1"/>
      <w:bookmarkStart w:id="4" w:name="_Toc27002_WPSOffice_Level1"/>
      <w:bookmarkStart w:id="5" w:name="_Toc27143"/>
    </w:p>
    <w:p>
      <w:pPr>
        <w:spacing w:line="580" w:lineRule="exact"/>
        <w:jc w:val="center"/>
        <w:rPr>
          <w:rFonts w:ascii="Times New Roman" w:hAnsi="Times New Roman" w:eastAsia="方正小标宋简体" w:cs="Times New Roman"/>
          <w:spacing w:val="17"/>
          <w:sz w:val="40"/>
          <w:szCs w:val="40"/>
        </w:rPr>
      </w:pPr>
      <w:r>
        <w:rPr>
          <w:rFonts w:ascii="Times New Roman" w:hAnsi="Times New Roman" w:eastAsia="方正小标宋简体" w:cs="Times New Roman"/>
          <w:spacing w:val="17"/>
          <w:sz w:val="40"/>
          <w:szCs w:val="40"/>
        </w:rPr>
        <w:t>长沙市开福区经济发展奖励</w:t>
      </w:r>
    </w:p>
    <w:p>
      <w:pPr>
        <w:spacing w:line="58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pacing w:val="17"/>
          <w:sz w:val="40"/>
          <w:szCs w:val="40"/>
        </w:rPr>
        <w:t>暂行</w:t>
      </w:r>
      <w:r>
        <w:rPr>
          <w:rFonts w:ascii="Times New Roman" w:hAnsi="Times New Roman" w:eastAsia="方正小标宋简体" w:cs="Times New Roman"/>
          <w:spacing w:val="17"/>
          <w:sz w:val="40"/>
          <w:szCs w:val="40"/>
        </w:rPr>
        <w:t>办法</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before="162" w:beforeLines="50" w:line="580" w:lineRule="exact"/>
        <w:jc w:val="center"/>
        <w:textAlignment w:val="auto"/>
        <w:rPr>
          <w:rFonts w:hint="default" w:ascii="Times New Roman" w:hAnsi="Times New Roman" w:eastAsia="楷体_GB2312" w:cs="Times New Roman"/>
          <w:b/>
          <w:bCs/>
          <w:spacing w:val="0"/>
          <w:sz w:val="28"/>
          <w:szCs w:val="28"/>
          <w:lang w:eastAsia="zh-CN"/>
        </w:rPr>
      </w:pPr>
      <w:r>
        <w:rPr>
          <w:rFonts w:hint="default" w:ascii="Times New Roman" w:hAnsi="Times New Roman" w:eastAsia="楷体_GB2312" w:cs="Times New Roman"/>
          <w:b/>
          <w:bCs/>
          <w:spacing w:val="0"/>
          <w:sz w:val="28"/>
          <w:szCs w:val="28"/>
          <w:lang w:eastAsia="zh-CN"/>
        </w:rPr>
        <w:t>（开发〔</w:t>
      </w:r>
      <w:r>
        <w:rPr>
          <w:rFonts w:hint="default" w:ascii="Times New Roman" w:hAnsi="Times New Roman" w:eastAsia="楷体_GB2312" w:cs="Times New Roman"/>
          <w:b/>
          <w:bCs/>
          <w:spacing w:val="0"/>
          <w:sz w:val="28"/>
          <w:szCs w:val="28"/>
          <w:lang w:val="en-US" w:eastAsia="zh-CN"/>
        </w:rPr>
        <w:t>2020</w:t>
      </w:r>
      <w:r>
        <w:rPr>
          <w:rFonts w:hint="default" w:ascii="Times New Roman" w:hAnsi="Times New Roman" w:eastAsia="楷体_GB2312" w:cs="Times New Roman"/>
          <w:b/>
          <w:bCs/>
          <w:spacing w:val="0"/>
          <w:sz w:val="28"/>
          <w:szCs w:val="28"/>
          <w:lang w:eastAsia="zh-CN"/>
        </w:rPr>
        <w:t>〕</w:t>
      </w:r>
      <w:r>
        <w:rPr>
          <w:rFonts w:hint="default" w:ascii="Times New Roman" w:hAnsi="Times New Roman" w:eastAsia="楷体_GB2312" w:cs="Times New Roman"/>
          <w:b/>
          <w:bCs/>
          <w:spacing w:val="0"/>
          <w:sz w:val="28"/>
          <w:szCs w:val="28"/>
          <w:lang w:val="en-US" w:eastAsia="zh-CN"/>
        </w:rPr>
        <w:t>8号，2020年6月11日印发</w:t>
      </w:r>
      <w:r>
        <w:rPr>
          <w:rFonts w:hint="default" w:ascii="Times New Roman" w:hAnsi="Times New Roman" w:eastAsia="楷体_GB2312" w:cs="Times New Roman"/>
          <w:b/>
          <w:bCs/>
          <w:spacing w:val="0"/>
          <w:sz w:val="28"/>
          <w:szCs w:val="28"/>
          <w:lang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before="322" w:beforeLines="100" w:after="322" w:afterLines="100" w:line="520" w:lineRule="exact"/>
        <w:jc w:val="center"/>
        <w:textAlignment w:val="auto"/>
        <w:outlineLvl w:val="1"/>
        <w:rPr>
          <w:rFonts w:ascii="Times New Roman" w:hAnsi="Times New Roman" w:eastAsia="黑体" w:cs="Times New Roman"/>
          <w:spacing w:val="0"/>
          <w:sz w:val="28"/>
          <w:szCs w:val="28"/>
        </w:rPr>
      </w:pPr>
      <w:bookmarkStart w:id="6" w:name="_Toc14437"/>
      <w:bookmarkStart w:id="7" w:name="_Toc29178"/>
      <w:bookmarkStart w:id="8" w:name="_Toc30989"/>
      <w:bookmarkStart w:id="9" w:name="_Toc32005"/>
      <w:bookmarkStart w:id="10" w:name="_Toc23798"/>
      <w:bookmarkStart w:id="11" w:name="_Toc26900"/>
      <w:bookmarkStart w:id="12" w:name="_Toc26007_WPSOffice_Level1"/>
      <w:r>
        <w:rPr>
          <w:rFonts w:ascii="Times New Roman" w:hAnsi="Times New Roman" w:eastAsia="黑体" w:cs="Times New Roman"/>
          <w:spacing w:val="0"/>
          <w:sz w:val="28"/>
          <w:szCs w:val="28"/>
        </w:rPr>
        <w:t>第一章  总  则</w:t>
      </w:r>
      <w:bookmarkEnd w:id="6"/>
      <w:bookmarkEnd w:id="7"/>
      <w:bookmarkEnd w:id="8"/>
      <w:bookmarkEnd w:id="9"/>
      <w:bookmarkEnd w:id="10"/>
      <w:bookmarkEnd w:id="11"/>
      <w:bookmarkEnd w:id="12"/>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仿宋_GB2312" w:cs="仿宋_GB2312"/>
          <w:spacing w:val="0"/>
          <w:sz w:val="28"/>
          <w:szCs w:val="28"/>
        </w:rPr>
      </w:pPr>
      <w:bookmarkStart w:id="13" w:name="_Toc23154"/>
      <w:bookmarkStart w:id="14" w:name="_Toc3700_WPSOffice_Level2"/>
      <w:bookmarkStart w:id="15" w:name="_Toc16630"/>
      <w:bookmarkStart w:id="16" w:name="_Toc440"/>
      <w:bookmarkStart w:id="17" w:name="_Toc27873"/>
      <w:bookmarkStart w:id="18" w:name="_Toc3614"/>
      <w:bookmarkStart w:id="19" w:name="_Toc25023"/>
      <w:r>
        <w:rPr>
          <w:rFonts w:hint="eastAsia" w:ascii="Times New Roman" w:hAnsi="Times New Roman" w:eastAsia="楷体_GB2312" w:cs="楷体_GB2312"/>
          <w:b/>
          <w:bCs w:val="0"/>
          <w:spacing w:val="0"/>
          <w:sz w:val="28"/>
          <w:szCs w:val="28"/>
        </w:rPr>
        <w:t>第一条</w:t>
      </w:r>
      <w:bookmarkEnd w:id="13"/>
      <w:bookmarkEnd w:id="14"/>
      <w:bookmarkEnd w:id="15"/>
      <w:bookmarkEnd w:id="16"/>
      <w:bookmarkEnd w:id="17"/>
      <w:r>
        <w:rPr>
          <w:rFonts w:hint="eastAsia" w:ascii="Times New Roman" w:hAnsi="Times New Roman" w:eastAsia="仿宋_GB2312" w:cs="Times New Roman"/>
          <w:b/>
          <w:bCs/>
          <w:spacing w:val="0"/>
          <w:sz w:val="28"/>
          <w:szCs w:val="28"/>
          <w:lang w:eastAsia="zh-CN"/>
        </w:rPr>
        <w:t>　</w:t>
      </w:r>
      <w:r>
        <w:rPr>
          <w:rFonts w:hint="eastAsia" w:ascii="Times New Roman" w:hAnsi="Times New Roman" w:eastAsia="仿宋_GB2312" w:cs="仿宋_GB2312"/>
          <w:spacing w:val="0"/>
          <w:sz w:val="28"/>
          <w:szCs w:val="28"/>
        </w:rPr>
        <w:t>为贯彻落实省委、省政府“创新引领、开放崛起”战略部署和市委十三届八次全会要求，根据《中共长沙市开福区委印发〈关于贯彻落实市委十三届八次全会精神大力推动产业高质量发展的实施方案〉的通知》（开发〔2020〕1号）文件精神，聚焦视频文创、现代物流、金融商贸、智能制造四大支柱产业，进一步夯实产业基础，定型产业布局，提升产业链现代化水平，确保“433”攻坚目标落地落实，结合我区实际，特制定本办法。</w:t>
      </w:r>
      <w:bookmarkEnd w:id="18"/>
    </w:p>
    <w:bookmarkEnd w:id="19"/>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仿宋_GB2312" w:cs="Times New Roman"/>
          <w:spacing w:val="0"/>
          <w:sz w:val="28"/>
          <w:szCs w:val="28"/>
        </w:rPr>
      </w:pPr>
      <w:bookmarkStart w:id="20" w:name="_Toc5636"/>
      <w:bookmarkStart w:id="21" w:name="_Toc26676"/>
      <w:r>
        <w:rPr>
          <w:rFonts w:hint="eastAsia" w:ascii="Times New Roman" w:hAnsi="Times New Roman" w:eastAsia="楷体_GB2312" w:cs="楷体_GB2312"/>
          <w:b/>
          <w:bCs w:val="0"/>
          <w:spacing w:val="0"/>
          <w:sz w:val="28"/>
          <w:szCs w:val="28"/>
        </w:rPr>
        <w:t>第二条</w:t>
      </w:r>
      <w:r>
        <w:rPr>
          <w:rFonts w:hint="eastAsia" w:ascii="Times New Roman" w:hAnsi="Times New Roman" w:eastAsia="仿宋_GB2312" w:cs="Times New Roman"/>
          <w:spacing w:val="0"/>
          <w:sz w:val="28"/>
          <w:szCs w:val="28"/>
        </w:rPr>
        <w:t xml:space="preserve">  奖励对象为</w:t>
      </w:r>
      <w:r>
        <w:rPr>
          <w:rFonts w:ascii="Times New Roman" w:hAnsi="Times New Roman" w:eastAsia="仿宋_GB2312" w:cs="Times New Roman"/>
          <w:spacing w:val="0"/>
          <w:sz w:val="28"/>
          <w:szCs w:val="28"/>
        </w:rPr>
        <w:t>工商注册、税务登记在本区</w:t>
      </w:r>
      <w:r>
        <w:rPr>
          <w:rFonts w:hint="eastAsia" w:ascii="Times New Roman" w:hAnsi="Times New Roman" w:eastAsia="仿宋_GB2312" w:cs="Times New Roman"/>
          <w:spacing w:val="0"/>
          <w:sz w:val="28"/>
          <w:szCs w:val="28"/>
        </w:rPr>
        <w:t>的企业，</w:t>
      </w:r>
      <w:r>
        <w:rPr>
          <w:rFonts w:ascii="Times New Roman" w:hAnsi="Times New Roman" w:eastAsia="仿宋_GB2312" w:cs="Times New Roman"/>
          <w:spacing w:val="0"/>
          <w:sz w:val="28"/>
          <w:szCs w:val="28"/>
        </w:rPr>
        <w:t>对区域经济和社会发展作出</w:t>
      </w:r>
      <w:r>
        <w:rPr>
          <w:rFonts w:hint="eastAsia" w:ascii="Times New Roman" w:hAnsi="Times New Roman" w:eastAsia="仿宋_GB2312" w:cs="Times New Roman"/>
          <w:spacing w:val="0"/>
          <w:sz w:val="28"/>
          <w:szCs w:val="28"/>
        </w:rPr>
        <w:t>较大</w:t>
      </w:r>
      <w:r>
        <w:rPr>
          <w:rFonts w:ascii="Times New Roman" w:hAnsi="Times New Roman" w:eastAsia="仿宋_GB2312" w:cs="Times New Roman"/>
          <w:spacing w:val="0"/>
          <w:sz w:val="28"/>
          <w:szCs w:val="28"/>
        </w:rPr>
        <w:t>贡献的个人。</w:t>
      </w:r>
      <w:bookmarkEnd w:id="20"/>
      <w:bookmarkEnd w:id="21"/>
      <w:bookmarkStart w:id="22" w:name="_Toc32213"/>
      <w:bookmarkStart w:id="23" w:name="_Toc6794"/>
      <w:bookmarkStart w:id="24" w:name="_Toc26860_WPSOffice_Level1"/>
      <w:bookmarkStart w:id="25" w:name="_Toc13920"/>
      <w:bookmarkStart w:id="26" w:name="_Toc9939"/>
      <w:bookmarkStart w:id="27" w:name="_Toc30411"/>
      <w:bookmarkStart w:id="28" w:name="_Toc12365"/>
    </w:p>
    <w:p>
      <w:pPr>
        <w:keepNext w:val="0"/>
        <w:keepLines w:val="0"/>
        <w:pageBreakBefore w:val="0"/>
        <w:widowControl w:val="0"/>
        <w:tabs>
          <w:tab w:val="center" w:pos="4153"/>
        </w:tabs>
        <w:kinsoku/>
        <w:wordWrap/>
        <w:overflowPunct/>
        <w:topLinePunct w:val="0"/>
        <w:autoSpaceDE/>
        <w:autoSpaceDN/>
        <w:bidi w:val="0"/>
        <w:adjustRightInd/>
        <w:snapToGrid/>
        <w:spacing w:after="322" w:afterLines="100" w:line="520" w:lineRule="exact"/>
        <w:jc w:val="center"/>
        <w:textAlignment w:val="auto"/>
        <w:outlineLvl w:val="1"/>
        <w:rPr>
          <w:rFonts w:hint="eastAsia" w:ascii="Times New Roman" w:hAnsi="Times New Roman" w:eastAsia="黑体" w:cs="Times New Roman"/>
          <w:spacing w:val="0"/>
          <w:sz w:val="28"/>
          <w:szCs w:val="28"/>
        </w:rPr>
      </w:pPr>
      <w:r>
        <w:rPr>
          <w:rFonts w:hint="eastAsia" w:ascii="Times New Roman" w:hAnsi="Times New Roman" w:eastAsia="黑体" w:cs="Times New Roman"/>
          <w:spacing w:val="0"/>
          <w:sz w:val="28"/>
          <w:szCs w:val="28"/>
        </w:rPr>
        <w:t>第二章  招商入驻奖</w:t>
      </w:r>
      <w:bookmarkEnd w:id="22"/>
      <w:bookmarkEnd w:id="23"/>
      <w:bookmarkEnd w:id="24"/>
      <w:bookmarkEnd w:id="25"/>
      <w:bookmarkEnd w:id="26"/>
      <w:bookmarkEnd w:id="27"/>
      <w:bookmarkEnd w:id="28"/>
      <w:bookmarkStart w:id="29" w:name="_Toc26972"/>
      <w:bookmarkStart w:id="30" w:name="_Toc11326"/>
      <w:bookmarkStart w:id="31" w:name="_Toc23474"/>
      <w:bookmarkStart w:id="32" w:name="_Toc19755"/>
      <w:bookmarkStart w:id="33" w:name="_Toc30945_WPSOffice_Level1"/>
      <w:bookmarkStart w:id="34" w:name="_Toc3604"/>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35" w:name="_Toc9201"/>
      <w:r>
        <w:rPr>
          <w:rFonts w:hint="eastAsia" w:ascii="Times New Roman" w:hAnsi="Times New Roman" w:eastAsia="楷体_GB2312" w:cs="楷体_GB2312"/>
          <w:b/>
          <w:bCs w:val="0"/>
          <w:spacing w:val="0"/>
          <w:sz w:val="28"/>
          <w:szCs w:val="28"/>
        </w:rPr>
        <w:t>第三条  购地自建补贴</w:t>
      </w:r>
      <w:bookmarkEnd w:id="35"/>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新入驻的总部企业购地自建办公用房，按自用面积最高2000元/㎡的标准给予一次性补贴。补贴金额高于企业当年区级贡献的，则实行分年补贴，不超过3年（项目开发、销售环节产生的贡献不计入）。</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36" w:name="_Toc14396"/>
      <w:r>
        <w:rPr>
          <w:rFonts w:hint="eastAsia" w:ascii="Times New Roman" w:hAnsi="Times New Roman" w:eastAsia="楷体_GB2312" w:cs="楷体_GB2312"/>
          <w:b/>
          <w:bCs w:val="0"/>
          <w:spacing w:val="0"/>
          <w:sz w:val="28"/>
          <w:szCs w:val="28"/>
        </w:rPr>
        <w:t>第四条  购房补贴</w:t>
      </w:r>
      <w:bookmarkEnd w:id="36"/>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1．新入驻的总部企业购买办公用房，按自用面积最高1200元/㎡的标准，分3个年度按30%、30%、40%的比例给予补贴。</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仿宋_GB2312"/>
          <w:spacing w:val="0"/>
          <w:sz w:val="28"/>
          <w:szCs w:val="28"/>
        </w:rPr>
        <w:t>2．新入驻的全国性、区域性总部金融机构购置办公用房，分别按自用面积1600元/㎡、1300元/㎡的标准，分3个年度按30%、30%、40%的比例给予补贴，补贴总额分别不超过3000万元、2000万元。新入驻的其它金融机构购置办公用房，按自用面积650元/㎡的标准，分3个年度按30%、30%、40%的比例给予补贴，补贴总额不超过800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3．新入驻的消费类电子、军民两用先进技术、智能装备制造等科技型企业，购买办公及生产用房，按实际购买费用的10%，分3个年度按30%、30%、40%的比例给予补贴，年度补贴金额不超过100万元。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仿宋_GB2312"/>
          <w:spacing w:val="0"/>
          <w:sz w:val="28"/>
          <w:szCs w:val="28"/>
        </w:rPr>
      </w:pPr>
      <w:r>
        <w:rPr>
          <w:rFonts w:hint="eastAsia" w:ascii="Times New Roman" w:hAnsi="Times New Roman" w:eastAsia="仿宋_GB2312" w:cs="Times New Roman"/>
          <w:spacing w:val="0"/>
          <w:sz w:val="28"/>
          <w:szCs w:val="28"/>
        </w:rPr>
        <w:t>4</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新入驻的医药物流、医疗器械类企业（含孵化器、加速器、创客空间、用于生产制造工业地产等），购买标准厂房面积400㎡以上，按实际购房面积给予200元／㎡补贴，补贴金额不超过60万元。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5．新入驻的其他企业购买办公用房，前3个会计年度内，年度区级贡献达到50万元，给予20万元补贴。区级贡献每增加50万元，补贴递增10万元。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37" w:name="_Toc18855"/>
      <w:r>
        <w:rPr>
          <w:rFonts w:hint="eastAsia" w:ascii="Times New Roman" w:hAnsi="Times New Roman" w:eastAsia="楷体_GB2312" w:cs="楷体_GB2312"/>
          <w:b/>
          <w:bCs w:val="0"/>
          <w:spacing w:val="0"/>
          <w:sz w:val="28"/>
          <w:szCs w:val="28"/>
        </w:rPr>
        <w:t>第五条  租赁补贴</w:t>
      </w:r>
      <w:bookmarkEnd w:id="37"/>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1．新入驻的总部企业租赁办公用房，自开业之日起，按自用面积最高300元/㎡的标准给予补贴，不超过3年。</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新入驻未享受马栏山视频文创产业园租金补贴政策的视频文创企业（规模10人以上），连续3年每年按实缴租金的80%、70%、60%给予补贴，年度补贴金额不超过30万元。</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新入驻的医药物流、医疗器械类企业（含孵化器、加速器、创客空间、用于生产制造工业地产等），从当年租用起，连续3年每年按实际租金的50%给予补贴，补贴总额不超过50万元。</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4．新入驻的全国性、区域性总部金融机构租赁办公用房（租期3年以上），连续3年每年分别按租赁自用面积500元/㎡、400元/㎡、400元/㎡和400元/㎡、300元/㎡、300元/㎡标准给予补贴，补贴总额分别不超过800万元、600万元；新入驻的其他金融机构租赁办公用房（租期3年以上），连续3年每年按租赁自用面积150元/㎡、100元/㎡、100元/㎡给予补贴，补贴总额不超过400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5．新入驻的消费类电子、军民两用先进技术、智能装备制造等科技型企业，租赁办公及生产用房，连续3年每年按年度实付租金的100%、80%、60%给予补贴，不超过50元/㎡/月，年度补贴金额不超过50万元。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6．新入驻的其他企业租赁办公用房，前3个会计年度内，年度区级贡献达到50万元，给予10万元补贴。区级贡献每增加50万元，补贴递增10万元。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38" w:name="_Toc5808"/>
      <w:r>
        <w:rPr>
          <w:rFonts w:hint="eastAsia" w:ascii="Times New Roman" w:hAnsi="Times New Roman" w:eastAsia="楷体_GB2312" w:cs="楷体_GB2312"/>
          <w:b/>
          <w:bCs w:val="0"/>
          <w:spacing w:val="0"/>
          <w:sz w:val="28"/>
          <w:szCs w:val="28"/>
        </w:rPr>
        <w:t>第六条　招商中介奖</w:t>
      </w:r>
      <w:bookmarkEnd w:id="38"/>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ascii="Times New Roman" w:hAnsi="Times New Roman" w:eastAsia="仿宋_GB2312" w:cs="Times New Roman"/>
          <w:spacing w:val="0"/>
          <w:sz w:val="28"/>
          <w:szCs w:val="28"/>
        </w:rPr>
        <w:t>引进</w:t>
      </w:r>
      <w:r>
        <w:rPr>
          <w:rFonts w:hint="eastAsia" w:ascii="Times New Roman" w:hAnsi="Times New Roman" w:eastAsia="仿宋_GB2312" w:cs="Times New Roman"/>
          <w:spacing w:val="0"/>
          <w:sz w:val="28"/>
          <w:szCs w:val="28"/>
        </w:rPr>
        <w:t>当年或次年</w:t>
      </w:r>
      <w:r>
        <w:rPr>
          <w:rFonts w:ascii="Times New Roman" w:hAnsi="Times New Roman" w:eastAsia="仿宋_GB2312" w:cs="Times New Roman"/>
          <w:spacing w:val="0"/>
          <w:sz w:val="28"/>
          <w:szCs w:val="28"/>
        </w:rPr>
        <w:t>区级贡献达到50万元的企业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给予招商中介人5万元一次性奖励。区级贡献每增加</w:t>
      </w:r>
      <w:r>
        <w:rPr>
          <w:rFonts w:ascii="Times New Roman" w:hAnsi="Times New Roman" w:eastAsia="仿宋_GB2312" w:cs="Times New Roman"/>
          <w:spacing w:val="-6"/>
          <w:sz w:val="28"/>
          <w:szCs w:val="28"/>
        </w:rPr>
        <w:t>10万元</w:t>
      </w:r>
      <w:r>
        <w:rPr>
          <w:rFonts w:hint="eastAsia" w:ascii="Times New Roman" w:hAnsi="Times New Roman" w:eastAsia="仿宋_GB2312" w:cs="Times New Roman"/>
          <w:spacing w:val="-6"/>
          <w:sz w:val="28"/>
          <w:szCs w:val="28"/>
        </w:rPr>
        <w:t>，</w:t>
      </w:r>
      <w:r>
        <w:rPr>
          <w:rFonts w:ascii="Times New Roman" w:hAnsi="Times New Roman" w:eastAsia="仿宋_GB2312" w:cs="Times New Roman"/>
          <w:spacing w:val="-6"/>
          <w:sz w:val="28"/>
          <w:szCs w:val="28"/>
        </w:rPr>
        <w:t>奖励递增1万元</w:t>
      </w:r>
      <w:r>
        <w:rPr>
          <w:rFonts w:hint="eastAsia" w:ascii="Times New Roman" w:hAnsi="Times New Roman" w:eastAsia="仿宋_GB2312" w:cs="Times New Roman"/>
          <w:spacing w:val="-6"/>
          <w:sz w:val="28"/>
          <w:szCs w:val="28"/>
        </w:rPr>
        <w:t>，奖励金额</w:t>
      </w:r>
      <w:r>
        <w:rPr>
          <w:rFonts w:ascii="Times New Roman" w:hAnsi="Times New Roman" w:eastAsia="仿宋_GB2312" w:cs="Times New Roman"/>
          <w:spacing w:val="-6"/>
          <w:sz w:val="28"/>
          <w:szCs w:val="28"/>
        </w:rPr>
        <w:t>不超过200万元。</w:t>
      </w:r>
    </w:p>
    <w:p>
      <w:pPr>
        <w:keepNext w:val="0"/>
        <w:keepLines w:val="0"/>
        <w:pageBreakBefore w:val="0"/>
        <w:widowControl w:val="0"/>
        <w:tabs>
          <w:tab w:val="center" w:pos="4153"/>
        </w:tabs>
        <w:kinsoku/>
        <w:wordWrap/>
        <w:overflowPunct/>
        <w:topLinePunct w:val="0"/>
        <w:autoSpaceDE/>
        <w:autoSpaceDN/>
        <w:bidi w:val="0"/>
        <w:adjustRightInd/>
        <w:snapToGrid/>
        <w:spacing w:before="322" w:beforeLines="100" w:after="322" w:afterLines="100" w:line="520" w:lineRule="exact"/>
        <w:jc w:val="center"/>
        <w:textAlignment w:val="auto"/>
        <w:outlineLvl w:val="1"/>
        <w:rPr>
          <w:rFonts w:ascii="Times New Roman" w:hAnsi="Times New Roman" w:eastAsia="黑体" w:cs="Times New Roman"/>
          <w:spacing w:val="0"/>
          <w:sz w:val="28"/>
          <w:szCs w:val="28"/>
        </w:rPr>
      </w:pPr>
      <w:bookmarkStart w:id="39" w:name="_Toc10027"/>
      <w:r>
        <w:rPr>
          <w:rFonts w:ascii="Times New Roman" w:hAnsi="Times New Roman" w:eastAsia="黑体" w:cs="Times New Roman"/>
          <w:spacing w:val="0"/>
          <w:sz w:val="28"/>
          <w:szCs w:val="28"/>
        </w:rPr>
        <w:t>第</w:t>
      </w:r>
      <w:r>
        <w:rPr>
          <w:rFonts w:hint="eastAsia" w:ascii="Times New Roman" w:hAnsi="Times New Roman" w:eastAsia="黑体" w:cs="Times New Roman"/>
          <w:spacing w:val="0"/>
          <w:sz w:val="28"/>
          <w:szCs w:val="28"/>
        </w:rPr>
        <w:t>三</w:t>
      </w:r>
      <w:r>
        <w:rPr>
          <w:rFonts w:ascii="Times New Roman" w:hAnsi="Times New Roman" w:eastAsia="黑体" w:cs="Times New Roman"/>
          <w:spacing w:val="0"/>
          <w:sz w:val="28"/>
          <w:szCs w:val="28"/>
        </w:rPr>
        <w:t xml:space="preserve">章  </w:t>
      </w:r>
      <w:r>
        <w:rPr>
          <w:rFonts w:hint="eastAsia" w:ascii="Times New Roman" w:hAnsi="Times New Roman" w:eastAsia="黑体" w:cs="Times New Roman"/>
          <w:spacing w:val="0"/>
          <w:sz w:val="28"/>
          <w:szCs w:val="28"/>
        </w:rPr>
        <w:t>楼宇建设</w:t>
      </w:r>
      <w:r>
        <w:rPr>
          <w:rFonts w:ascii="Times New Roman" w:hAnsi="Times New Roman" w:eastAsia="黑体" w:cs="Times New Roman"/>
          <w:spacing w:val="0"/>
          <w:sz w:val="28"/>
          <w:szCs w:val="28"/>
        </w:rPr>
        <w:t>奖</w:t>
      </w:r>
      <w:bookmarkEnd w:id="39"/>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40" w:name="_Toc23717"/>
      <w:r>
        <w:rPr>
          <w:rFonts w:hint="eastAsia" w:ascii="Times New Roman" w:hAnsi="Times New Roman" w:eastAsia="楷体_GB2312" w:cs="楷体_GB2312"/>
          <w:b/>
          <w:bCs w:val="0"/>
          <w:spacing w:val="0"/>
          <w:sz w:val="28"/>
          <w:szCs w:val="28"/>
        </w:rPr>
        <w:t>第七条　楼宇自持奖</w:t>
      </w:r>
      <w:bookmarkEnd w:id="40"/>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自持面积1万㎡以上、自持时间5年以上且企业入驻率达70%以上的商务楼宇开发主体，给予80万元一次性奖励。面积每增加1万㎡，奖励递增20万元，奖励金额不超过200万元。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41" w:name="_Toc24172"/>
      <w:r>
        <w:rPr>
          <w:rFonts w:hint="eastAsia" w:ascii="Times New Roman" w:hAnsi="Times New Roman" w:eastAsia="楷体_GB2312" w:cs="楷体_GB2312"/>
          <w:b/>
          <w:bCs w:val="0"/>
          <w:spacing w:val="0"/>
          <w:sz w:val="28"/>
          <w:szCs w:val="28"/>
        </w:rPr>
        <w:t>第八条　楼宇运营奖</w:t>
      </w:r>
      <w:bookmarkEnd w:id="41"/>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1．单栋商务楼宇统一运营面积5000㎡以上、企业入驻率70%以上且产生区级贡献100万元以上，给</w:t>
      </w:r>
      <w:r>
        <w:rPr>
          <w:rFonts w:hint="eastAsia" w:ascii="Times New Roman" w:hAnsi="Times New Roman" w:eastAsia="仿宋_GB2312" w:cs="仿宋_GB2312"/>
          <w:spacing w:val="-6"/>
          <w:sz w:val="28"/>
          <w:szCs w:val="28"/>
        </w:rPr>
        <w:t>予运营主体50万元一次性奖励。统一运营面积每增加5000㎡，奖励递增10万元，奖励金额不超过200万元。</w:t>
      </w:r>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2．建筑面积1万㎡以上的单栋商务楼宇实现全口径税收首次达到5000万元，对楼宇物业管理方给予10万元一次性奖励。首次达到1亿元的，给予30万元一次性奖励。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42" w:name="_Toc11688"/>
      <w:r>
        <w:rPr>
          <w:rFonts w:hint="eastAsia" w:ascii="Times New Roman" w:hAnsi="Times New Roman" w:eastAsia="楷体_GB2312" w:cs="楷体_GB2312"/>
          <w:b/>
          <w:bCs w:val="0"/>
          <w:spacing w:val="0"/>
          <w:sz w:val="28"/>
          <w:szCs w:val="28"/>
        </w:rPr>
        <w:t>第九条　楼宇提质奖</w:t>
      </w:r>
      <w:bookmarkEnd w:id="42"/>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投入运营5年以上、建筑面积1万㎡以上的商务楼宇，实施公共区域和公用设施设备（含公用设施设备更新、停车位改造、外立面整治、内部公共部位装修等）提质改造，经备案的，工程投资额1000万元以上，且改造完投入使用的首个会计年度内产生区级贡献100万元以上，按照40元/㎡给予奖励。奖励金额不超过200万元。</w:t>
      </w:r>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2．建筑面积2万㎡以上的商务楼宇，对引进“五大行”的，给予10万元一次性奖励；引进国家一级诚信物业管理服务企业，给予5万元一次性奖励。合同约定服务期限须3年以上且执行满1年。</w:t>
      </w:r>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ascii="Times New Roman" w:hAnsi="Times New Roman" w:eastAsia="楷体_GB2312" w:cs="楷体_GB2312"/>
          <w:b/>
          <w:bCs/>
          <w:spacing w:val="0"/>
          <w:sz w:val="28"/>
          <w:szCs w:val="28"/>
        </w:rPr>
      </w:pPr>
      <w:r>
        <w:rPr>
          <w:rFonts w:hint="eastAsia" w:ascii="Times New Roman" w:hAnsi="Times New Roman" w:eastAsia="仿宋_GB2312" w:cs="仿宋_GB2312"/>
          <w:spacing w:val="0"/>
          <w:kern w:val="0"/>
          <w:sz w:val="28"/>
          <w:szCs w:val="28"/>
        </w:rPr>
        <w:t>3</w:t>
      </w:r>
      <w:r>
        <w:rPr>
          <w:rFonts w:hint="eastAsia" w:ascii="Times New Roman" w:hAnsi="Times New Roman" w:eastAsia="仿宋_GB2312" w:cs="仿宋_GB2312"/>
          <w:spacing w:val="0"/>
          <w:sz w:val="28"/>
          <w:szCs w:val="28"/>
        </w:rPr>
        <w:t>．</w:t>
      </w:r>
      <w:r>
        <w:rPr>
          <w:rFonts w:hint="eastAsia" w:ascii="Times New Roman" w:hAnsi="Times New Roman" w:eastAsia="仿宋_GB2312" w:cs="仿宋_GB2312"/>
          <w:spacing w:val="0"/>
          <w:kern w:val="0"/>
          <w:sz w:val="28"/>
          <w:szCs w:val="28"/>
        </w:rPr>
        <w:t>商务楼宇的物业管理服务企业，</w:t>
      </w:r>
      <w:r>
        <w:rPr>
          <w:rFonts w:hint="eastAsia" w:ascii="Times New Roman" w:hAnsi="Times New Roman" w:eastAsia="仿宋_GB2312" w:cs="仿宋_GB2312"/>
          <w:spacing w:val="0"/>
          <w:kern w:val="0"/>
          <w:sz w:val="28"/>
          <w:szCs w:val="28"/>
          <w:lang w:bidi="ar"/>
        </w:rPr>
        <w:t>诚信等级由二级升为一级、三级升为二级，分别给予10万元、5万元一次性奖励。</w:t>
      </w:r>
    </w:p>
    <w:p>
      <w:pPr>
        <w:keepNext w:val="0"/>
        <w:keepLines w:val="0"/>
        <w:pageBreakBefore w:val="0"/>
        <w:widowControl w:val="0"/>
        <w:tabs>
          <w:tab w:val="center" w:pos="4153"/>
        </w:tabs>
        <w:kinsoku/>
        <w:wordWrap/>
        <w:overflowPunct/>
        <w:topLinePunct w:val="0"/>
        <w:autoSpaceDE/>
        <w:autoSpaceDN/>
        <w:bidi w:val="0"/>
        <w:adjustRightInd/>
        <w:snapToGrid/>
        <w:spacing w:before="322" w:beforeLines="100" w:after="322" w:afterLines="100" w:line="520" w:lineRule="exact"/>
        <w:jc w:val="center"/>
        <w:textAlignment w:val="auto"/>
        <w:outlineLvl w:val="1"/>
        <w:rPr>
          <w:rFonts w:ascii="Times New Roman" w:hAnsi="Times New Roman" w:eastAsia="黑体" w:cs="Times New Roman"/>
          <w:spacing w:val="0"/>
          <w:sz w:val="28"/>
          <w:szCs w:val="28"/>
        </w:rPr>
      </w:pPr>
      <w:bookmarkStart w:id="43" w:name="_Toc20656"/>
      <w:r>
        <w:rPr>
          <w:rFonts w:ascii="Times New Roman" w:hAnsi="Times New Roman" w:eastAsia="黑体" w:cs="Times New Roman"/>
          <w:spacing w:val="0"/>
          <w:sz w:val="28"/>
          <w:szCs w:val="28"/>
        </w:rPr>
        <w:t>第</w:t>
      </w:r>
      <w:r>
        <w:rPr>
          <w:rFonts w:hint="eastAsia" w:ascii="Times New Roman" w:hAnsi="Times New Roman" w:eastAsia="黑体" w:cs="Times New Roman"/>
          <w:spacing w:val="0"/>
          <w:sz w:val="28"/>
          <w:szCs w:val="28"/>
        </w:rPr>
        <w:t>四</w:t>
      </w:r>
      <w:r>
        <w:rPr>
          <w:rFonts w:ascii="Times New Roman" w:hAnsi="Times New Roman" w:eastAsia="黑体" w:cs="Times New Roman"/>
          <w:spacing w:val="0"/>
          <w:sz w:val="28"/>
          <w:szCs w:val="28"/>
        </w:rPr>
        <w:t xml:space="preserve">章  </w:t>
      </w:r>
      <w:r>
        <w:rPr>
          <w:rFonts w:hint="eastAsia" w:ascii="Times New Roman" w:hAnsi="Times New Roman" w:eastAsia="黑体" w:cs="Times New Roman"/>
          <w:spacing w:val="0"/>
          <w:sz w:val="28"/>
          <w:szCs w:val="28"/>
        </w:rPr>
        <w:t>发展</w:t>
      </w:r>
      <w:r>
        <w:rPr>
          <w:rFonts w:ascii="Times New Roman" w:hAnsi="Times New Roman" w:eastAsia="黑体" w:cs="Times New Roman"/>
          <w:spacing w:val="0"/>
          <w:sz w:val="28"/>
          <w:szCs w:val="28"/>
        </w:rPr>
        <w:t>贡献奖</w:t>
      </w:r>
      <w:bookmarkEnd w:id="29"/>
      <w:bookmarkEnd w:id="30"/>
      <w:bookmarkEnd w:id="31"/>
      <w:bookmarkEnd w:id="32"/>
      <w:bookmarkEnd w:id="33"/>
      <w:bookmarkEnd w:id="34"/>
      <w:bookmarkEnd w:id="43"/>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44" w:name="_Toc18959"/>
      <w:bookmarkStart w:id="45" w:name="_Toc7125_WPSOffice_Level2"/>
      <w:bookmarkStart w:id="46" w:name="_Toc24870"/>
      <w:bookmarkStart w:id="47" w:name="_Toc17999"/>
      <w:bookmarkStart w:id="48" w:name="_Toc18046"/>
      <w:bookmarkStart w:id="49" w:name="_Toc27419"/>
      <w:r>
        <w:rPr>
          <w:rFonts w:hint="eastAsia" w:ascii="Times New Roman" w:hAnsi="Times New Roman" w:eastAsia="楷体_GB2312" w:cs="楷体_GB2312"/>
          <w:b/>
          <w:bCs w:val="0"/>
          <w:spacing w:val="0"/>
          <w:sz w:val="28"/>
          <w:szCs w:val="28"/>
        </w:rPr>
        <w:t>第十条  企业扶植奖</w:t>
      </w:r>
      <w:bookmarkEnd w:id="44"/>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新入驻</w:t>
      </w:r>
      <w:r>
        <w:rPr>
          <w:rFonts w:hint="eastAsia" w:ascii="Times New Roman" w:hAnsi="Times New Roman" w:eastAsia="仿宋_GB2312" w:cs="Times New Roman"/>
          <w:spacing w:val="0"/>
          <w:sz w:val="28"/>
          <w:szCs w:val="28"/>
        </w:rPr>
        <w:t>的中小微</w:t>
      </w:r>
      <w:r>
        <w:rPr>
          <w:rFonts w:ascii="Times New Roman" w:hAnsi="Times New Roman" w:eastAsia="仿宋_GB2312" w:cs="Times New Roman"/>
          <w:spacing w:val="0"/>
          <w:sz w:val="28"/>
          <w:szCs w:val="28"/>
        </w:rPr>
        <w:t>企业</w:t>
      </w:r>
      <w:r>
        <w:rPr>
          <w:rFonts w:hint="eastAsia" w:ascii="Times New Roman" w:hAnsi="Times New Roman" w:eastAsia="仿宋_GB2312" w:cs="Times New Roman"/>
          <w:spacing w:val="0"/>
          <w:sz w:val="28"/>
          <w:szCs w:val="28"/>
        </w:rPr>
        <w:t>（房地产企业、国有企业、金融企业除外），</w:t>
      </w:r>
      <w:r>
        <w:rPr>
          <w:rFonts w:ascii="Times New Roman" w:hAnsi="Times New Roman" w:eastAsia="仿宋_GB2312" w:cs="Times New Roman"/>
          <w:spacing w:val="0"/>
          <w:sz w:val="28"/>
          <w:szCs w:val="28"/>
        </w:rPr>
        <w:t>前</w:t>
      </w:r>
      <w:r>
        <w:rPr>
          <w:rFonts w:hint="eastAsia" w:ascii="Times New Roman" w:hAnsi="Times New Roman" w:eastAsia="仿宋_GB2312" w:cs="Times New Roman"/>
          <w:spacing w:val="0"/>
          <w:sz w:val="28"/>
          <w:szCs w:val="28"/>
        </w:rPr>
        <w:t>3</w:t>
      </w:r>
      <w:r>
        <w:rPr>
          <w:rFonts w:ascii="Times New Roman" w:hAnsi="Times New Roman" w:eastAsia="仿宋_GB2312" w:cs="Times New Roman"/>
          <w:spacing w:val="0"/>
          <w:sz w:val="28"/>
          <w:szCs w:val="28"/>
        </w:rPr>
        <w:t>个会计年度内分别按实缴区级</w:t>
      </w:r>
      <w:r>
        <w:rPr>
          <w:rFonts w:hint="eastAsia" w:ascii="Times New Roman" w:hAnsi="Times New Roman" w:eastAsia="仿宋_GB2312" w:cs="Times New Roman"/>
          <w:spacing w:val="0"/>
          <w:sz w:val="28"/>
          <w:szCs w:val="28"/>
        </w:rPr>
        <w:t>贡献</w:t>
      </w:r>
      <w:r>
        <w:rPr>
          <w:rFonts w:ascii="Times New Roman" w:hAnsi="Times New Roman" w:eastAsia="仿宋_GB2312" w:cs="Times New Roman"/>
          <w:spacing w:val="0"/>
          <w:sz w:val="28"/>
          <w:szCs w:val="28"/>
        </w:rPr>
        <w:t>50%、25%、12.5%给予奖励。</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2．新入驻的消费类电子、军民两用先进技术、智能装备制造等科技型企业，连续3年每年按区级贡献100%给予奖励（需扣除企业当年所获的购房、租房补贴）。</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仿宋_GB2312"/>
          <w:spacing w:val="0"/>
          <w:sz w:val="28"/>
          <w:szCs w:val="28"/>
        </w:rPr>
        <w:t>3．</w:t>
      </w:r>
      <w:r>
        <w:rPr>
          <w:rFonts w:ascii="Times New Roman" w:hAnsi="Times New Roman" w:eastAsia="仿宋_GB2312" w:cs="仿宋_GB2312"/>
          <w:spacing w:val="0"/>
          <w:sz w:val="28"/>
          <w:szCs w:val="28"/>
        </w:rPr>
        <w:t>新入驻的</w:t>
      </w:r>
      <w:r>
        <w:rPr>
          <w:rFonts w:hint="eastAsia" w:ascii="Times New Roman" w:hAnsi="Times New Roman" w:eastAsia="仿宋_GB2312" w:cs="仿宋_GB2312"/>
          <w:spacing w:val="0"/>
          <w:sz w:val="28"/>
          <w:szCs w:val="28"/>
        </w:rPr>
        <w:t>物流功能性总部（研发中心、销售中心、结算中心、经营性分支机构），亩均贡献达25万元以上，前3年分别按年度区级贡献80%、70%、60%给予奖励。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50" w:name="_Toc14460"/>
      <w:r>
        <w:rPr>
          <w:rFonts w:hint="eastAsia" w:ascii="Times New Roman" w:hAnsi="Times New Roman" w:eastAsia="楷体_GB2312" w:cs="楷体_GB2312"/>
          <w:b/>
          <w:bCs w:val="0"/>
          <w:spacing w:val="0"/>
          <w:sz w:val="28"/>
          <w:szCs w:val="28"/>
        </w:rPr>
        <w:t>第十一条　区级贡献奖</w:t>
      </w:r>
      <w:bookmarkEnd w:id="50"/>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区级贡献100万元以上</w:t>
      </w:r>
      <w:r>
        <w:rPr>
          <w:rFonts w:hint="eastAsia" w:ascii="Times New Roman" w:hAnsi="Times New Roman" w:eastAsia="仿宋_GB2312" w:cs="Times New Roman"/>
          <w:spacing w:val="0"/>
          <w:sz w:val="28"/>
          <w:szCs w:val="28"/>
        </w:rPr>
        <w:t>，且</w:t>
      </w:r>
      <w:r>
        <w:rPr>
          <w:rFonts w:ascii="Times New Roman" w:hAnsi="Times New Roman" w:eastAsia="仿宋_GB2312" w:cs="Times New Roman"/>
          <w:spacing w:val="0"/>
          <w:sz w:val="28"/>
          <w:szCs w:val="28"/>
        </w:rPr>
        <w:t>年度区级贡献增长20%以上的</w:t>
      </w:r>
      <w:r>
        <w:rPr>
          <w:rFonts w:hint="eastAsia" w:ascii="Times New Roman" w:hAnsi="Times New Roman" w:eastAsia="仿宋_GB2312" w:cs="Times New Roman"/>
          <w:spacing w:val="0"/>
          <w:sz w:val="28"/>
          <w:szCs w:val="28"/>
        </w:rPr>
        <w:t>企业（房地产企业、国有企业、金融企业除外），</w:t>
      </w:r>
      <w:r>
        <w:rPr>
          <w:rFonts w:ascii="Times New Roman" w:hAnsi="Times New Roman" w:eastAsia="仿宋_GB2312" w:cs="Times New Roman"/>
          <w:spacing w:val="0"/>
          <w:sz w:val="28"/>
          <w:szCs w:val="28"/>
        </w:rPr>
        <w:t>按区级贡献增长部分的</w:t>
      </w:r>
      <w:r>
        <w:rPr>
          <w:rFonts w:hint="eastAsia" w:ascii="Times New Roman" w:hAnsi="Times New Roman" w:eastAsia="仿宋_GB2312" w:cs="Times New Roman"/>
          <w:spacing w:val="0"/>
          <w:sz w:val="28"/>
          <w:szCs w:val="28"/>
        </w:rPr>
        <w:t>2</w:t>
      </w:r>
      <w:r>
        <w:rPr>
          <w:rFonts w:ascii="Times New Roman" w:hAnsi="Times New Roman" w:eastAsia="仿宋_GB2312" w:cs="Times New Roman"/>
          <w:spacing w:val="0"/>
          <w:sz w:val="28"/>
          <w:szCs w:val="28"/>
        </w:rPr>
        <w:t>0%给予奖励</w:t>
      </w:r>
      <w:r>
        <w:rPr>
          <w:rFonts w:hint="eastAsia" w:ascii="Times New Roman" w:hAnsi="Times New Roman" w:eastAsia="仿宋_GB2312" w:cs="Times New Roman"/>
          <w:spacing w:val="0"/>
          <w:sz w:val="28"/>
          <w:szCs w:val="28"/>
        </w:rPr>
        <w:t>，单个企业年度奖励金额不超过100万元。</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年度</w:t>
      </w:r>
      <w:r>
        <w:rPr>
          <w:rFonts w:hint="eastAsia" w:ascii="Times New Roman" w:hAnsi="Times New Roman" w:eastAsia="仿宋_GB2312" w:cs="Times New Roman"/>
          <w:spacing w:val="0"/>
          <w:sz w:val="28"/>
          <w:szCs w:val="28"/>
        </w:rPr>
        <w:t>区级</w:t>
      </w:r>
      <w:r>
        <w:rPr>
          <w:rFonts w:ascii="Times New Roman" w:hAnsi="Times New Roman" w:eastAsia="仿宋_GB2312" w:cs="Times New Roman"/>
          <w:spacing w:val="0"/>
          <w:sz w:val="28"/>
          <w:szCs w:val="28"/>
        </w:rPr>
        <w:t>贡献正增长且</w:t>
      </w:r>
      <w:r>
        <w:rPr>
          <w:rFonts w:hint="eastAsia" w:ascii="Times New Roman" w:hAnsi="Times New Roman" w:eastAsia="仿宋_GB2312" w:cs="Times New Roman"/>
          <w:spacing w:val="0"/>
          <w:sz w:val="28"/>
          <w:szCs w:val="28"/>
        </w:rPr>
        <w:t>达到</w:t>
      </w:r>
      <w:r>
        <w:rPr>
          <w:rFonts w:ascii="Times New Roman" w:hAnsi="Times New Roman" w:eastAsia="仿宋_GB2312" w:cs="Times New Roman"/>
          <w:spacing w:val="0"/>
          <w:sz w:val="28"/>
          <w:szCs w:val="28"/>
        </w:rPr>
        <w:t>200万元、500万元、1000万元以上的企业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分别给予20万元、40万元、60万元奖励。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51" w:name="_Toc6090"/>
      <w:r>
        <w:rPr>
          <w:rFonts w:hint="eastAsia" w:ascii="Times New Roman" w:hAnsi="Times New Roman" w:eastAsia="楷体_GB2312" w:cs="楷体_GB2312"/>
          <w:b/>
          <w:bCs w:val="0"/>
          <w:spacing w:val="0"/>
          <w:sz w:val="28"/>
          <w:szCs w:val="28"/>
        </w:rPr>
        <w:t>第十二条　高管人才奖</w:t>
      </w:r>
      <w:bookmarkEnd w:id="51"/>
    </w:p>
    <w:p>
      <w:pPr>
        <w:keepNext w:val="0"/>
        <w:keepLines w:val="0"/>
        <w:pageBreakBefore w:val="0"/>
        <w:widowControl w:val="0"/>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企业年度区级贡献1000万以上</w:t>
      </w:r>
      <w:r>
        <w:rPr>
          <w:rFonts w:hint="eastAsia" w:ascii="Times New Roman" w:hAnsi="Times New Roman" w:eastAsia="仿宋_GB2312" w:cs="Times New Roman"/>
          <w:spacing w:val="0"/>
          <w:sz w:val="28"/>
          <w:szCs w:val="28"/>
        </w:rPr>
        <w:t>且正增长，对</w:t>
      </w:r>
      <w:r>
        <w:rPr>
          <w:rFonts w:ascii="Times New Roman" w:hAnsi="Times New Roman" w:eastAsia="仿宋_GB2312" w:cs="Times New Roman"/>
          <w:spacing w:val="0"/>
          <w:sz w:val="28"/>
          <w:szCs w:val="28"/>
        </w:rPr>
        <w:t>企业高管按当年个人所得税区级留</w:t>
      </w:r>
      <w:r>
        <w:rPr>
          <w:rFonts w:hint="eastAsia" w:ascii="Times New Roman" w:hAnsi="Times New Roman" w:eastAsia="仿宋_GB2312" w:cs="Times New Roman"/>
          <w:spacing w:val="0"/>
          <w:sz w:val="28"/>
          <w:szCs w:val="28"/>
        </w:rPr>
        <w:t>存</w:t>
      </w:r>
      <w:r>
        <w:rPr>
          <w:rFonts w:ascii="Times New Roman" w:hAnsi="Times New Roman" w:eastAsia="仿宋_GB2312" w:cs="Times New Roman"/>
          <w:spacing w:val="0"/>
          <w:sz w:val="28"/>
          <w:szCs w:val="28"/>
        </w:rPr>
        <w:t>给予全额奖励（不超过10人）。年度区级贡献每增加500万元，递增5名高管名额。</w:t>
      </w:r>
      <w:bookmarkStart w:id="52" w:name="_Toc22691"/>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年度区级贡献为正增长且达到30万元、100万元、500万元以上的视频文创企业，分别按3人、5人、8人给予企业高管及骨干技术人才当年个人</w:t>
      </w:r>
      <w:r>
        <w:rPr>
          <w:rFonts w:ascii="Times New Roman" w:hAnsi="Times New Roman" w:eastAsia="仿宋_GB2312" w:cs="Times New Roman"/>
          <w:spacing w:val="0"/>
          <w:sz w:val="28"/>
          <w:szCs w:val="28"/>
        </w:rPr>
        <w:t>所得税区级留</w:t>
      </w:r>
      <w:r>
        <w:rPr>
          <w:rFonts w:hint="eastAsia" w:ascii="Times New Roman" w:hAnsi="Times New Roman" w:eastAsia="仿宋_GB2312" w:cs="Times New Roman"/>
          <w:spacing w:val="0"/>
          <w:sz w:val="28"/>
          <w:szCs w:val="28"/>
        </w:rPr>
        <w:t>存的全额奖励。</w:t>
      </w:r>
    </w:p>
    <w:p>
      <w:pPr>
        <w:keepNext w:val="0"/>
        <w:keepLines w:val="0"/>
        <w:pageBreakBefore w:val="0"/>
        <w:widowControl w:val="0"/>
        <w:kinsoku/>
        <w:wordWrap/>
        <w:overflowPunct/>
        <w:topLinePunct w:val="0"/>
        <w:autoSpaceDE/>
        <w:autoSpaceDN w:val="0"/>
        <w:bidi w:val="0"/>
        <w:adjustRightInd w:val="0"/>
        <w:snapToGrid w:val="0"/>
        <w:spacing w:line="520" w:lineRule="exact"/>
        <w:ind w:firstLine="560" w:firstLineChars="200"/>
        <w:textAlignment w:val="auto"/>
        <w:rPr>
          <w:rFonts w:hint="eastAsia" w:ascii="Times New Roman" w:hAnsi="Times New Roman" w:eastAsia="仿宋_GB2312" w:cs="仿宋_GB2312"/>
          <w:spacing w:val="0"/>
          <w:kern w:val="0"/>
          <w:sz w:val="28"/>
          <w:szCs w:val="28"/>
        </w:rPr>
      </w:pPr>
      <w:r>
        <w:rPr>
          <w:rFonts w:hint="eastAsia" w:ascii="Times New Roman" w:hAnsi="Times New Roman" w:eastAsia="仿宋_GB2312" w:cs="仿宋_GB2312"/>
          <w:spacing w:val="0"/>
          <w:kern w:val="0"/>
          <w:sz w:val="28"/>
          <w:szCs w:val="28"/>
        </w:rPr>
        <w:t>3</w:t>
      </w:r>
      <w:r>
        <w:rPr>
          <w:rFonts w:hint="eastAsia" w:ascii="Times New Roman" w:hAnsi="Times New Roman" w:eastAsia="仿宋_GB2312" w:cs="仿宋_GB2312"/>
          <w:spacing w:val="0"/>
          <w:sz w:val="28"/>
          <w:szCs w:val="28"/>
        </w:rPr>
        <w:t>．</w:t>
      </w:r>
      <w:r>
        <w:rPr>
          <w:rFonts w:hint="eastAsia" w:ascii="Times New Roman" w:hAnsi="Times New Roman" w:eastAsia="仿宋_GB2312" w:cs="仿宋_GB2312"/>
          <w:spacing w:val="0"/>
          <w:kern w:val="0"/>
          <w:sz w:val="28"/>
          <w:szCs w:val="28"/>
        </w:rPr>
        <w:t>年度区级贡献达到100万元、500万元、3000万元、5000万元、1亿元以上的金融机构，分别按其企业高管当年实缴个人所得税的8%、20%、30%、40%、50%给予奖励。年度区级贡献不满100万元的新入驻金融机构，入驻前3年按其企业当年实缴个人所得税</w:t>
      </w:r>
      <w:r>
        <w:rPr>
          <w:rFonts w:ascii="Times New Roman" w:hAnsi="Times New Roman" w:eastAsia="仿宋_GB2312" w:cs="Times New Roman"/>
          <w:spacing w:val="0"/>
          <w:sz w:val="28"/>
          <w:szCs w:val="28"/>
        </w:rPr>
        <w:t>区级留</w:t>
      </w:r>
      <w:r>
        <w:rPr>
          <w:rFonts w:hint="eastAsia" w:ascii="Times New Roman" w:hAnsi="Times New Roman" w:eastAsia="仿宋_GB2312" w:cs="Times New Roman"/>
          <w:spacing w:val="0"/>
          <w:sz w:val="28"/>
          <w:szCs w:val="28"/>
        </w:rPr>
        <w:t>存</w:t>
      </w:r>
      <w:r>
        <w:rPr>
          <w:rFonts w:hint="eastAsia" w:ascii="Times New Roman" w:hAnsi="Times New Roman" w:eastAsia="仿宋_GB2312" w:cs="仿宋_GB2312"/>
          <w:spacing w:val="0"/>
          <w:kern w:val="0"/>
          <w:sz w:val="28"/>
          <w:szCs w:val="28"/>
        </w:rPr>
        <w:t>给予奖励。</w:t>
      </w:r>
    </w:p>
    <w:p>
      <w:pPr>
        <w:keepNext w:val="0"/>
        <w:keepLines w:val="0"/>
        <w:pageBreakBefore w:val="0"/>
        <w:widowControl w:val="0"/>
        <w:kinsoku/>
        <w:wordWrap/>
        <w:overflowPunct/>
        <w:topLinePunct w:val="0"/>
        <w:autoSpaceDE/>
        <w:autoSpaceDN w:val="0"/>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4．年度区级贡献达到1000万元、5000万元、1亿元以上的金融机构，分别给予30万元、50万元、100万元的团队贡献奖励。</w:t>
      </w:r>
    </w:p>
    <w:p>
      <w:pPr>
        <w:keepNext w:val="0"/>
        <w:keepLines w:val="0"/>
        <w:pageBreakBefore w:val="0"/>
        <w:widowControl w:val="0"/>
        <w:kinsoku/>
        <w:wordWrap/>
        <w:overflowPunct/>
        <w:topLinePunct w:val="0"/>
        <w:autoSpaceDE/>
        <w:autoSpaceDN w:val="0"/>
        <w:bidi w:val="0"/>
        <w:adjustRightInd w:val="0"/>
        <w:snapToGrid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仿宋_GB2312"/>
          <w:spacing w:val="0"/>
          <w:kern w:val="0"/>
          <w:sz w:val="28"/>
          <w:szCs w:val="28"/>
        </w:rPr>
        <w:t>5</w:t>
      </w:r>
      <w:r>
        <w:rPr>
          <w:rFonts w:hint="eastAsia" w:ascii="Times New Roman" w:hAnsi="Times New Roman" w:eastAsia="仿宋_GB2312" w:cs="仿宋_GB2312"/>
          <w:spacing w:val="0"/>
          <w:sz w:val="28"/>
          <w:szCs w:val="28"/>
        </w:rPr>
        <w:t>．</w:t>
      </w:r>
      <w:r>
        <w:rPr>
          <w:rFonts w:hint="eastAsia" w:ascii="Times New Roman" w:hAnsi="Times New Roman" w:eastAsia="仿宋_GB2312" w:cs="仿宋_GB2312"/>
          <w:spacing w:val="0"/>
          <w:kern w:val="0"/>
          <w:sz w:val="28"/>
          <w:szCs w:val="28"/>
        </w:rPr>
        <w:t>银行、保险、证券公司等新设的分支机构，前3年每年按其区级贡献的10%给予团队奖励，3年后每年按区级贡献增量部分的10%给予团队奖励，年度奖励金额不超过20万元；区级贡献总量达到500万以上的金融机构且增幅15%以上的，每年按区级贡献增量部分的10%给予团队奖励，年度奖励金额不超过30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53" w:name="_Toc2958"/>
      <w:r>
        <w:rPr>
          <w:rFonts w:hint="eastAsia" w:ascii="Times New Roman" w:hAnsi="Times New Roman" w:eastAsia="楷体_GB2312" w:cs="楷体_GB2312"/>
          <w:b/>
          <w:bCs w:val="0"/>
          <w:spacing w:val="0"/>
          <w:sz w:val="28"/>
          <w:szCs w:val="28"/>
        </w:rPr>
        <w:t>第十三条　企业营收奖</w:t>
      </w:r>
      <w:bookmarkEnd w:id="53"/>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引进先进数字视频技术（包括但不限于超高清、AR/VR、5G等）和获得原创产品版权登记证书的视频文创企业，首个会计年度内销售额达500万元且区级贡献30万元以上的，给予6万元奖励。区级贡献每增加30万元，奖励递增6万元，奖励金额不超过60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纳入区统计的医药物流企业主营业务收入连续2年为正增长且年度突破5亿元、10亿元、30亿元、50亿元、100亿元以上的企业，分别给予10万元、20万元、30万元、50万元、100万元奖励，年度奖励金额不超过区级贡献的20%。</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年营业收入较上年度新增20%、30%、60%</w:t>
      </w:r>
      <w:r>
        <w:rPr>
          <w:rFonts w:hint="eastAsia" w:ascii="Times New Roman" w:hAnsi="Times New Roman" w:eastAsia="仿宋_GB2312" w:cs="Times New Roman"/>
          <w:spacing w:val="-6"/>
          <w:sz w:val="28"/>
          <w:szCs w:val="28"/>
        </w:rPr>
        <w:t>以上的快递物流总部企业，分别给予20万元、40万元、80万元奖励，年度奖励金额不超过区级贡献的50%。</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54" w:name="_Toc1765"/>
      <w:r>
        <w:rPr>
          <w:rFonts w:hint="eastAsia" w:ascii="Times New Roman" w:hAnsi="Times New Roman" w:eastAsia="楷体_GB2312" w:cs="楷体_GB2312"/>
          <w:b/>
          <w:bCs w:val="0"/>
          <w:spacing w:val="0"/>
          <w:sz w:val="28"/>
          <w:szCs w:val="28"/>
        </w:rPr>
        <w:t>第十四条　服务业发展奖</w:t>
      </w:r>
      <w:bookmarkEnd w:id="54"/>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限额以上批发零售企业年度社会消费品零售总额（集团分解企业为区留存部分）1亿元、2亿元、5亿元以上，且同比增速达全市限额以上社会消费品零售总额同比增速，分别给予2万元、3万元、5万元奖励；限额以上住宿餐饮企业年度社会消费品零售总额3000万元、5000万元、l亿元以上，且同比增速达全市限额以上社会消费品零售总额同比增速，分别给予2万元、3万元、5万元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2．规模以上营利性服务业企业年度营业收入5000万元、8000万元、1亿元以上，且同比增速达全市规模以上营利性服务业增加值同比增速，当年分别给予2万元、3万元、5万元奖励。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3．纳入商务部长沙市服务外包业务管理和统计系统的服务外包企业，年度执行额达到1000万美元、3000万美元、5000万美元、7000万美元、10000万美元以上的，分别给予5万元、10万元、15万元、20万元、25万元奖励。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4．纳入湖南省电子商务统计监测管理系统和长沙市商务局电子商务统计信息平台的电子商务企业，企业年度区级贡献达到50万元，连续3个会计年度内按其区级贡献的50%给予奖励。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55" w:name="_Toc11753"/>
      <w:r>
        <w:rPr>
          <w:rFonts w:hint="eastAsia" w:ascii="Times New Roman" w:hAnsi="Times New Roman" w:eastAsia="楷体_GB2312" w:cs="楷体_GB2312"/>
          <w:b/>
          <w:bCs w:val="0"/>
          <w:spacing w:val="0"/>
          <w:sz w:val="28"/>
          <w:szCs w:val="28"/>
        </w:rPr>
        <w:t>第十五条　并购重组奖</w:t>
      </w:r>
      <w:bookmarkEnd w:id="55"/>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企业发生2000万元以上的并购重组项目，且并购重组对象纳入本区企业总收入（产值）及税收统计范围的，按兼并重组时实际发生的评估、审计、法律等中介费用的30%给予奖励，奖励总额不超</w:t>
      </w:r>
      <w:r>
        <w:rPr>
          <w:rFonts w:hint="eastAsia" w:ascii="Times New Roman" w:hAnsi="Times New Roman" w:eastAsia="仿宋_GB2312" w:cs="仿宋_GB2312"/>
          <w:spacing w:val="0"/>
          <w:sz w:val="28"/>
          <w:szCs w:val="28"/>
        </w:rPr>
        <w:t>过100万元；并</w:t>
      </w:r>
      <w:r>
        <w:rPr>
          <w:rFonts w:hint="eastAsia" w:ascii="Times New Roman" w:hAnsi="Times New Roman" w:eastAsia="仿宋_GB2312" w:cs="Times New Roman"/>
          <w:spacing w:val="0"/>
          <w:sz w:val="28"/>
          <w:szCs w:val="28"/>
        </w:rPr>
        <w:t>购的区外企业按产生区级贡献的50%，连续3年每年给予奖励。</w:t>
      </w:r>
    </w:p>
    <w:p>
      <w:pPr>
        <w:keepNext w:val="0"/>
        <w:keepLines w:val="0"/>
        <w:pageBreakBefore w:val="0"/>
        <w:widowControl w:val="0"/>
        <w:tabs>
          <w:tab w:val="center" w:pos="4153"/>
        </w:tabs>
        <w:kinsoku/>
        <w:wordWrap/>
        <w:overflowPunct/>
        <w:topLinePunct w:val="0"/>
        <w:autoSpaceDE/>
        <w:autoSpaceDN/>
        <w:bidi w:val="0"/>
        <w:adjustRightInd/>
        <w:snapToGrid/>
        <w:spacing w:before="322" w:beforeLines="100" w:after="322" w:afterLines="100" w:line="520" w:lineRule="exact"/>
        <w:jc w:val="center"/>
        <w:textAlignment w:val="auto"/>
        <w:outlineLvl w:val="1"/>
        <w:rPr>
          <w:rFonts w:ascii="Times New Roman" w:hAnsi="Times New Roman" w:eastAsia="黑体" w:cs="Times New Roman"/>
          <w:spacing w:val="0"/>
          <w:sz w:val="28"/>
          <w:szCs w:val="28"/>
        </w:rPr>
      </w:pPr>
      <w:bookmarkStart w:id="56" w:name="_Toc22258"/>
      <w:r>
        <w:rPr>
          <w:rFonts w:ascii="Times New Roman" w:hAnsi="Times New Roman" w:eastAsia="黑体" w:cs="Times New Roman"/>
          <w:spacing w:val="0"/>
          <w:sz w:val="28"/>
          <w:szCs w:val="28"/>
        </w:rPr>
        <w:t>第</w:t>
      </w:r>
      <w:r>
        <w:rPr>
          <w:rFonts w:hint="eastAsia" w:ascii="Times New Roman" w:hAnsi="Times New Roman" w:eastAsia="黑体" w:cs="Times New Roman"/>
          <w:spacing w:val="0"/>
          <w:sz w:val="28"/>
          <w:szCs w:val="28"/>
        </w:rPr>
        <w:t>五</w:t>
      </w:r>
      <w:r>
        <w:rPr>
          <w:rFonts w:ascii="Times New Roman" w:hAnsi="Times New Roman" w:eastAsia="黑体" w:cs="Times New Roman"/>
          <w:spacing w:val="0"/>
          <w:sz w:val="28"/>
          <w:szCs w:val="28"/>
        </w:rPr>
        <w:t xml:space="preserve">章  </w:t>
      </w:r>
      <w:r>
        <w:rPr>
          <w:rFonts w:hint="eastAsia" w:ascii="Times New Roman" w:hAnsi="Times New Roman" w:eastAsia="黑体" w:cs="Times New Roman"/>
          <w:spacing w:val="0"/>
          <w:sz w:val="28"/>
          <w:szCs w:val="28"/>
        </w:rPr>
        <w:t>主体</w:t>
      </w:r>
      <w:r>
        <w:rPr>
          <w:rFonts w:ascii="Times New Roman" w:hAnsi="Times New Roman" w:eastAsia="黑体" w:cs="Times New Roman"/>
          <w:spacing w:val="0"/>
          <w:sz w:val="28"/>
          <w:szCs w:val="28"/>
        </w:rPr>
        <w:t>培育奖</w:t>
      </w:r>
      <w:bookmarkEnd w:id="56"/>
    </w:p>
    <w:bookmarkEnd w:id="45"/>
    <w:bookmarkEnd w:id="46"/>
    <w:bookmarkEnd w:id="47"/>
    <w:bookmarkEnd w:id="48"/>
    <w:bookmarkEnd w:id="49"/>
    <w:bookmarkEnd w:id="52"/>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57" w:name="_Toc1238"/>
      <w:bookmarkStart w:id="58" w:name="_Toc29465"/>
      <w:bookmarkStart w:id="59" w:name="_Toc9667_WPSOffice_Level2"/>
      <w:bookmarkStart w:id="60" w:name="_Toc1540"/>
      <w:bookmarkStart w:id="61" w:name="_Toc31721"/>
      <w:bookmarkStart w:id="62" w:name="_Toc32713"/>
      <w:bookmarkStart w:id="63" w:name="_Toc28646"/>
      <w:bookmarkStart w:id="64" w:name="_Toc5447"/>
      <w:bookmarkStart w:id="65" w:name="_Toc24878"/>
      <w:bookmarkStart w:id="66" w:name="_Toc27416"/>
      <w:bookmarkStart w:id="67" w:name="_Toc23589"/>
      <w:bookmarkStart w:id="68" w:name="_Toc1813_WPSOffice_Level2"/>
      <w:r>
        <w:rPr>
          <w:rFonts w:hint="eastAsia" w:ascii="Times New Roman" w:hAnsi="Times New Roman" w:eastAsia="楷体_GB2312" w:cs="楷体_GB2312"/>
          <w:b/>
          <w:bCs w:val="0"/>
          <w:spacing w:val="0"/>
          <w:sz w:val="28"/>
          <w:szCs w:val="28"/>
        </w:rPr>
        <w:t>第十六条　“四上企业”进规入库奖</w:t>
      </w:r>
      <w:bookmarkEnd w:id="57"/>
      <w:bookmarkEnd w:id="58"/>
      <w:bookmarkEnd w:id="59"/>
      <w:bookmarkEnd w:id="60"/>
      <w:bookmarkEnd w:id="61"/>
      <w:bookmarkEnd w:id="62"/>
      <w:bookmarkEnd w:id="63"/>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在非开业、开业年度内</w:t>
      </w:r>
      <w:r>
        <w:rPr>
          <w:rFonts w:hint="eastAsia" w:ascii="Times New Roman" w:hAnsi="Times New Roman" w:eastAsia="仿宋_GB2312" w:cs="Times New Roman"/>
          <w:spacing w:val="0"/>
          <w:sz w:val="28"/>
          <w:szCs w:val="28"/>
        </w:rPr>
        <w:t>，成功</w:t>
      </w:r>
      <w:r>
        <w:rPr>
          <w:rFonts w:ascii="Times New Roman" w:hAnsi="Times New Roman" w:eastAsia="仿宋_GB2312" w:cs="Times New Roman"/>
          <w:spacing w:val="0"/>
          <w:sz w:val="28"/>
          <w:szCs w:val="28"/>
        </w:rPr>
        <w:t>申报为规模以上工业的企业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分别给予8万元、10万元奖励；</w:t>
      </w:r>
      <w:r>
        <w:rPr>
          <w:rFonts w:hint="eastAsia" w:ascii="Times New Roman" w:hAnsi="Times New Roman" w:eastAsia="仿宋_GB2312" w:cs="Times New Roman"/>
          <w:spacing w:val="0"/>
          <w:sz w:val="28"/>
          <w:szCs w:val="28"/>
        </w:rPr>
        <w:t>年度</w:t>
      </w:r>
      <w:r>
        <w:rPr>
          <w:rFonts w:ascii="Times New Roman" w:hAnsi="Times New Roman" w:eastAsia="仿宋_GB2312" w:cs="Times New Roman"/>
          <w:spacing w:val="0"/>
          <w:sz w:val="28"/>
          <w:szCs w:val="28"/>
        </w:rPr>
        <w:t>成功申报为限额以上商贸企业和规模以上服务业的企业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分别给予</w:t>
      </w:r>
      <w:r>
        <w:rPr>
          <w:rFonts w:hint="eastAsia" w:ascii="Times New Roman" w:hAnsi="Times New Roman" w:eastAsia="仿宋_GB2312" w:cs="Times New Roman"/>
          <w:spacing w:val="0"/>
          <w:sz w:val="28"/>
          <w:szCs w:val="28"/>
          <w:lang w:val="en-US" w:eastAsia="zh-CN"/>
        </w:rPr>
        <w:t>3</w:t>
      </w:r>
      <w:r>
        <w:rPr>
          <w:rFonts w:ascii="Times New Roman" w:hAnsi="Times New Roman" w:eastAsia="仿宋_GB2312" w:cs="Times New Roman"/>
          <w:spacing w:val="0"/>
          <w:sz w:val="28"/>
          <w:szCs w:val="28"/>
        </w:rPr>
        <w:t>万元、</w:t>
      </w:r>
      <w:r>
        <w:rPr>
          <w:rFonts w:hint="eastAsia" w:ascii="Times New Roman" w:hAnsi="Times New Roman" w:eastAsia="仿宋_GB2312" w:cs="Times New Roman"/>
          <w:spacing w:val="0"/>
          <w:sz w:val="28"/>
          <w:szCs w:val="28"/>
          <w:lang w:val="en-US" w:eastAsia="zh-CN"/>
        </w:rPr>
        <w:t>4</w:t>
      </w:r>
      <w:r>
        <w:rPr>
          <w:rFonts w:ascii="Times New Roman" w:hAnsi="Times New Roman" w:eastAsia="仿宋_GB2312" w:cs="Times New Roman"/>
          <w:spacing w:val="0"/>
          <w:sz w:val="28"/>
          <w:szCs w:val="28"/>
        </w:rPr>
        <w:t>万元奖励</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申报为资质建筑业、房地产开发经营的企业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给予2万元奖励</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新入库的</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四上</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如为本年度</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个转企</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另增加1万元奖励。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仿宋_GB2312"/>
          <w:spacing w:val="0"/>
          <w:sz w:val="28"/>
          <w:szCs w:val="28"/>
        </w:rPr>
        <w:t>2．新入驻区内月度新增的商贸零售餐饮企业，给予10万元一次性奖励。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69" w:name="_Toc11511"/>
      <w:bookmarkStart w:id="70" w:name="_Toc22583"/>
      <w:bookmarkStart w:id="71" w:name="_Toc16313"/>
      <w:bookmarkStart w:id="72" w:name="_Toc17493"/>
      <w:bookmarkStart w:id="73" w:name="_Toc30716"/>
      <w:r>
        <w:rPr>
          <w:rFonts w:hint="eastAsia" w:ascii="Times New Roman" w:hAnsi="Times New Roman" w:eastAsia="楷体_GB2312" w:cs="楷体_GB2312"/>
          <w:b/>
          <w:bCs w:val="0"/>
          <w:spacing w:val="0"/>
          <w:sz w:val="28"/>
          <w:szCs w:val="28"/>
        </w:rPr>
        <w:t>第十七条　企业上市奖</w:t>
      </w:r>
      <w:bookmarkEnd w:id="69"/>
      <w:bookmarkEnd w:id="70"/>
      <w:bookmarkEnd w:id="71"/>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ascii="Times New Roman" w:hAnsi="Times New Roman" w:eastAsia="仿宋_GB2312" w:cs="Times New Roman"/>
          <w:spacing w:val="0"/>
          <w:sz w:val="28"/>
          <w:szCs w:val="28"/>
        </w:rPr>
        <w:t>在主板、中小板、创业板或科创板上市的企业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w:t>
      </w:r>
      <w:r>
        <w:rPr>
          <w:rFonts w:hint="eastAsia" w:ascii="Times New Roman" w:hAnsi="Times New Roman" w:eastAsia="仿宋_GB2312" w:cs="Times New Roman"/>
          <w:spacing w:val="0"/>
          <w:sz w:val="28"/>
          <w:szCs w:val="28"/>
        </w:rPr>
        <w:t>4个</w:t>
      </w:r>
      <w:r>
        <w:rPr>
          <w:rFonts w:ascii="Times New Roman" w:hAnsi="Times New Roman" w:eastAsia="仿宋_GB2312" w:cs="Times New Roman"/>
          <w:spacing w:val="0"/>
          <w:sz w:val="28"/>
          <w:szCs w:val="28"/>
        </w:rPr>
        <w:t>阶段共给予200万元</w:t>
      </w:r>
      <w:r>
        <w:rPr>
          <w:rFonts w:hint="eastAsia" w:ascii="Times New Roman" w:hAnsi="Times New Roman" w:eastAsia="仿宋_GB2312" w:cs="Times New Roman"/>
          <w:spacing w:val="0"/>
          <w:sz w:val="28"/>
          <w:szCs w:val="28"/>
        </w:rPr>
        <w:t>奖励；</w:t>
      </w:r>
      <w:r>
        <w:rPr>
          <w:rFonts w:ascii="Times New Roman" w:hAnsi="Times New Roman" w:eastAsia="仿宋_GB2312" w:cs="Times New Roman"/>
          <w:spacing w:val="0"/>
          <w:sz w:val="28"/>
          <w:szCs w:val="28"/>
        </w:rPr>
        <w:t>在境外主板完成上市的企业给予200万元一次性</w:t>
      </w:r>
      <w:r>
        <w:rPr>
          <w:rFonts w:hint="eastAsia" w:ascii="Times New Roman" w:hAnsi="Times New Roman" w:eastAsia="仿宋_GB2312" w:cs="Times New Roman"/>
          <w:spacing w:val="0"/>
          <w:sz w:val="28"/>
          <w:szCs w:val="28"/>
        </w:rPr>
        <w:t>奖励；</w:t>
      </w:r>
      <w:r>
        <w:rPr>
          <w:rFonts w:ascii="Times New Roman" w:hAnsi="Times New Roman" w:eastAsia="仿宋_GB2312" w:cs="Times New Roman"/>
          <w:spacing w:val="0"/>
          <w:sz w:val="28"/>
          <w:szCs w:val="28"/>
        </w:rPr>
        <w:t>在中小企业股份转让系统成功挂牌新三板的企业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分阶段共给予60万元</w:t>
      </w:r>
      <w:r>
        <w:rPr>
          <w:rFonts w:hint="eastAsia" w:ascii="Times New Roman" w:hAnsi="Times New Roman" w:eastAsia="仿宋_GB2312" w:cs="Times New Roman"/>
          <w:spacing w:val="0"/>
          <w:sz w:val="28"/>
          <w:szCs w:val="28"/>
        </w:rPr>
        <w:t>奖励；</w:t>
      </w:r>
      <w:r>
        <w:rPr>
          <w:rFonts w:ascii="Times New Roman" w:hAnsi="Times New Roman" w:eastAsia="仿宋_GB2312" w:cs="Times New Roman"/>
          <w:spacing w:val="0"/>
          <w:sz w:val="28"/>
          <w:szCs w:val="28"/>
        </w:rPr>
        <w:t>在湖南股权交易所标准板挂牌的企业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给予20万元一次性</w:t>
      </w:r>
      <w:r>
        <w:rPr>
          <w:rFonts w:hint="eastAsia" w:ascii="Times New Roman" w:hAnsi="Times New Roman" w:eastAsia="仿宋_GB2312" w:cs="Times New Roman"/>
          <w:spacing w:val="0"/>
          <w:sz w:val="28"/>
          <w:szCs w:val="28"/>
        </w:rPr>
        <w:t>奖励</w:t>
      </w:r>
      <w:r>
        <w:rPr>
          <w:rFonts w:ascii="Times New Roman" w:hAnsi="Times New Roman" w:eastAsia="仿宋_GB2312" w:cs="Times New Roman"/>
          <w:spacing w:val="0"/>
          <w:sz w:val="28"/>
          <w:szCs w:val="28"/>
        </w:rPr>
        <w:t>。</w:t>
      </w:r>
    </w:p>
    <w:bookmarkEnd w:id="64"/>
    <w:bookmarkEnd w:id="65"/>
    <w:bookmarkEnd w:id="66"/>
    <w:bookmarkEnd w:id="67"/>
    <w:bookmarkEnd w:id="68"/>
    <w:bookmarkEnd w:id="72"/>
    <w:bookmarkEnd w:id="73"/>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74" w:name="_Toc17299"/>
      <w:bookmarkStart w:id="75" w:name="_Toc245_WPSOffice_Level1"/>
      <w:bookmarkStart w:id="76" w:name="_Toc31336"/>
      <w:bookmarkStart w:id="77" w:name="_Toc3188"/>
      <w:bookmarkStart w:id="78" w:name="_Toc3786"/>
      <w:bookmarkStart w:id="79" w:name="_Toc21118"/>
      <w:bookmarkStart w:id="80" w:name="_Toc26244"/>
      <w:r>
        <w:rPr>
          <w:rFonts w:hint="eastAsia" w:ascii="Times New Roman" w:hAnsi="Times New Roman" w:eastAsia="楷体_GB2312" w:cs="楷体_GB2312"/>
          <w:b/>
          <w:bCs w:val="0"/>
          <w:spacing w:val="0"/>
          <w:sz w:val="28"/>
          <w:szCs w:val="28"/>
        </w:rPr>
        <w:t>第十八条　文化推介奖</w:t>
      </w:r>
      <w:bookmarkEnd w:id="74"/>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经批准对当年承办国家、省、市级会展、竞赛等大型活动的文创企业（展览面积1万平米且展客80家以上），分别给予30万元、20万元、10万元奖励，每年每企奖励1次；对受国家部委、省政府（省直厅局）邀请参加对外文化交流活动的文创企业，经认定，分别给予每次3万元、2万元奖励，每年每企奖励不超过3次。</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经政府相关部门认定的国家、省、市级非遗文化传承人和文化名师，在区内建传习所或工作室运行一年以上（以在区文产办备案时间为准），连续3年每年分别给予8万元、6万元、4万元奖励。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81" w:name="_Toc9619"/>
      <w:r>
        <w:rPr>
          <w:rFonts w:hint="eastAsia" w:ascii="Times New Roman" w:hAnsi="Times New Roman" w:eastAsia="楷体_GB2312" w:cs="楷体_GB2312"/>
          <w:b/>
          <w:bCs w:val="0"/>
          <w:spacing w:val="0"/>
          <w:sz w:val="28"/>
          <w:szCs w:val="28"/>
        </w:rPr>
        <w:t>第十九条　品牌创建奖</w:t>
      </w:r>
      <w:bookmarkEnd w:id="81"/>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新认定的</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中国驰名商标</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中国名牌产品</w:t>
      </w:r>
      <w:r>
        <w:rPr>
          <w:rFonts w:hint="eastAsia" w:ascii="Times New Roman" w:hAnsi="Times New Roman" w:eastAsia="仿宋_GB2312" w:cs="Times New Roman"/>
          <w:spacing w:val="0"/>
          <w:sz w:val="28"/>
          <w:szCs w:val="28"/>
        </w:rPr>
        <w:t>”的企业，</w:t>
      </w:r>
      <w:r>
        <w:rPr>
          <w:rFonts w:ascii="Times New Roman" w:hAnsi="Times New Roman" w:eastAsia="仿宋_GB2312" w:cs="Times New Roman"/>
          <w:spacing w:val="0"/>
          <w:sz w:val="28"/>
          <w:szCs w:val="28"/>
        </w:rPr>
        <w:t>分别给予10万元</w:t>
      </w:r>
      <w:r>
        <w:rPr>
          <w:rFonts w:hint="eastAsia" w:ascii="Times New Roman" w:hAnsi="Times New Roman" w:eastAsia="仿宋_GB2312" w:cs="Times New Roman"/>
          <w:spacing w:val="0"/>
          <w:sz w:val="28"/>
          <w:szCs w:val="28"/>
        </w:rPr>
        <w:t>一次性</w:t>
      </w:r>
      <w:r>
        <w:rPr>
          <w:rFonts w:ascii="Times New Roman" w:hAnsi="Times New Roman" w:eastAsia="仿宋_GB2312" w:cs="Times New Roman"/>
          <w:spacing w:val="0"/>
          <w:sz w:val="28"/>
          <w:szCs w:val="28"/>
        </w:rPr>
        <w:t>奖励</w:t>
      </w:r>
      <w:r>
        <w:rPr>
          <w:rFonts w:hint="eastAsia" w:ascii="Times New Roman" w:hAnsi="Times New Roman" w:eastAsia="仿宋_GB2312" w:cs="Times New Roman"/>
          <w:spacing w:val="0"/>
          <w:sz w:val="28"/>
          <w:szCs w:val="28"/>
        </w:rPr>
        <w:t>；承接建设项目获得“</w:t>
      </w:r>
      <w:r>
        <w:rPr>
          <w:rFonts w:ascii="Times New Roman" w:hAnsi="Times New Roman" w:eastAsia="仿宋_GB2312" w:cs="Times New Roman"/>
          <w:spacing w:val="0"/>
          <w:sz w:val="28"/>
          <w:szCs w:val="28"/>
        </w:rPr>
        <w:t>中国建设工程鲁班奖</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给予</w:t>
      </w:r>
      <w:r>
        <w:rPr>
          <w:rFonts w:hint="eastAsia" w:ascii="Times New Roman" w:hAnsi="Times New Roman" w:eastAsia="仿宋_GB2312" w:cs="Times New Roman"/>
          <w:spacing w:val="0"/>
          <w:sz w:val="28"/>
          <w:szCs w:val="28"/>
        </w:rPr>
        <w:t>3</w:t>
      </w:r>
      <w:r>
        <w:rPr>
          <w:rFonts w:ascii="Times New Roman" w:hAnsi="Times New Roman" w:eastAsia="仿宋_GB2312" w:cs="Times New Roman"/>
          <w:spacing w:val="0"/>
          <w:sz w:val="28"/>
          <w:szCs w:val="28"/>
        </w:rPr>
        <w:t>0万元</w:t>
      </w:r>
      <w:r>
        <w:rPr>
          <w:rFonts w:hint="eastAsia" w:ascii="Times New Roman" w:hAnsi="Times New Roman" w:eastAsia="仿宋_GB2312" w:cs="Times New Roman"/>
          <w:spacing w:val="0"/>
          <w:sz w:val="28"/>
          <w:szCs w:val="28"/>
        </w:rPr>
        <w:t>一次性</w:t>
      </w:r>
      <w:r>
        <w:rPr>
          <w:rFonts w:ascii="Times New Roman" w:hAnsi="Times New Roman" w:eastAsia="仿宋_GB2312" w:cs="Times New Roman"/>
          <w:spacing w:val="0"/>
          <w:sz w:val="28"/>
          <w:szCs w:val="28"/>
        </w:rPr>
        <w:t>奖励；首次获中国质量奖、湖南省省长质量奖的企业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分别给予</w:t>
      </w:r>
      <w:r>
        <w:rPr>
          <w:rFonts w:hint="eastAsia" w:ascii="Times New Roman" w:hAnsi="Times New Roman" w:eastAsia="仿宋_GB2312" w:cs="Times New Roman"/>
          <w:spacing w:val="0"/>
          <w:sz w:val="28"/>
          <w:szCs w:val="28"/>
        </w:rPr>
        <w:t>3</w:t>
      </w:r>
      <w:r>
        <w:rPr>
          <w:rFonts w:ascii="Times New Roman" w:hAnsi="Times New Roman" w:eastAsia="仿宋_GB2312" w:cs="Times New Roman"/>
          <w:spacing w:val="0"/>
          <w:sz w:val="28"/>
          <w:szCs w:val="28"/>
        </w:rPr>
        <w:t>0万元、20万元</w:t>
      </w:r>
      <w:r>
        <w:rPr>
          <w:rFonts w:hint="eastAsia" w:ascii="Times New Roman" w:hAnsi="Times New Roman" w:eastAsia="仿宋_GB2312" w:cs="Times New Roman"/>
          <w:spacing w:val="0"/>
          <w:sz w:val="28"/>
          <w:szCs w:val="28"/>
        </w:rPr>
        <w:t>一次性</w:t>
      </w:r>
      <w:r>
        <w:rPr>
          <w:rFonts w:ascii="Times New Roman" w:hAnsi="Times New Roman" w:eastAsia="仿宋_GB2312" w:cs="Times New Roman"/>
          <w:spacing w:val="0"/>
          <w:sz w:val="28"/>
          <w:szCs w:val="28"/>
        </w:rPr>
        <w:t>奖励；获得国家</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湖南省</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科学技术奖</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的企业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分别给予30万元、15万元</w:t>
      </w:r>
      <w:r>
        <w:rPr>
          <w:rFonts w:hint="eastAsia" w:ascii="Times New Roman" w:hAnsi="Times New Roman" w:eastAsia="仿宋_GB2312" w:cs="Times New Roman"/>
          <w:spacing w:val="0"/>
          <w:sz w:val="28"/>
          <w:szCs w:val="28"/>
        </w:rPr>
        <w:t>一次性</w:t>
      </w:r>
      <w:r>
        <w:rPr>
          <w:rFonts w:ascii="Times New Roman" w:hAnsi="Times New Roman" w:eastAsia="仿宋_GB2312" w:cs="Times New Roman"/>
          <w:spacing w:val="0"/>
          <w:sz w:val="28"/>
          <w:szCs w:val="28"/>
        </w:rPr>
        <w:t>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当年获评“中国文化艺术政府奖”的视频文创企业，给予50万元一次性奖励；获评国家、省、市级“五个一工程奖”的，分别给予50万元、30万元、10万元一次性奖励；原创作品或创意设计，当年获评国际、国家、省级权威奖项的，经认定，分别给予20万元、10万元、5万元一次性奖励。</w:t>
      </w:r>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3．</w:t>
      </w:r>
      <w:r>
        <w:rPr>
          <w:rFonts w:hint="eastAsia" w:ascii="Times New Roman" w:hAnsi="Times New Roman" w:eastAsia="仿宋_GB2312" w:cs="仿宋_GB2312"/>
          <w:spacing w:val="-6"/>
          <w:sz w:val="28"/>
          <w:szCs w:val="28"/>
        </w:rPr>
        <w:t>获得地理标志商标、国家地理标志产品保护以及中华老字号、湖南老字号、中国特色商业街等称号的，按国家、省级分别给予30万元、20万元一次性奖励。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4．新入驻的品牌商场单店经营面积在1万㎡以上且统一收银、1万㎡以上的知名超市、5000㎡以上的驰名餐饮企业，分别给予50万元、30万元、20万元一次性奖励。</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5．新入驻的品牌连锁实体便利店、生鲜门店企业总部，入驻当年全市开店数5家以上，给予10万元一次性奖励。每增加1家，奖励递增1万元。</w:t>
      </w:r>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6．新入驻的中国（内地）、华中区、湖南省、长沙市的品牌首店和网红打卡地，经认定，开业经营当年分别给予15万元、10万元、6万元、4万元一次性奖励。对设立24小时无人店的商贸企业，给予单店最高4万元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82" w:name="_Toc30090"/>
      <w:r>
        <w:rPr>
          <w:rFonts w:hint="eastAsia" w:ascii="Times New Roman" w:hAnsi="Times New Roman" w:eastAsia="楷体_GB2312" w:cs="楷体_GB2312"/>
          <w:b/>
          <w:bCs w:val="0"/>
          <w:spacing w:val="0"/>
          <w:sz w:val="28"/>
          <w:szCs w:val="28"/>
        </w:rPr>
        <w:t>第二十条　产品采购奖</w:t>
      </w:r>
      <w:bookmarkEnd w:id="82"/>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1．采购区内智能制造企业的产品进行科研和生产的，按照年度实际采购金额的10%对采购方给予奖励，年度奖励金额不超过50万元。</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2．采购工业软件和智能装备进行智能化技术改造且有明显质效提升的企业，按照采购价格的10%给予奖励，年度奖励金额不超过200万元。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83" w:name="_Toc11633"/>
      <w:r>
        <w:rPr>
          <w:rFonts w:hint="eastAsia" w:ascii="Times New Roman" w:hAnsi="Times New Roman" w:eastAsia="楷体_GB2312" w:cs="楷体_GB2312"/>
          <w:b/>
          <w:bCs w:val="0"/>
          <w:spacing w:val="0"/>
          <w:sz w:val="28"/>
          <w:szCs w:val="28"/>
        </w:rPr>
        <w:t>第二十一条　资质认证奖</w:t>
      </w:r>
      <w:bookmarkEnd w:id="83"/>
    </w:p>
    <w:p>
      <w:pPr>
        <w:keepNext w:val="0"/>
        <w:keepLines w:val="0"/>
        <w:pageBreakBefore w:val="0"/>
        <w:widowControl w:val="0"/>
        <w:kinsoku/>
        <w:wordWrap/>
        <w:overflowPunct/>
        <w:topLinePunct w:val="0"/>
        <w:autoSpaceDE/>
        <w:bidi w:val="0"/>
        <w:adjustRightInd w:val="0"/>
        <w:snapToGrid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w:t>
      </w:r>
      <w:r>
        <w:rPr>
          <w:rFonts w:hint="eastAsia" w:ascii="Times New Roman" w:hAnsi="Times New Roman" w:eastAsia="仿宋_GB2312" w:cs="仿宋_GB2312"/>
          <w:spacing w:val="-6"/>
          <w:sz w:val="28"/>
          <w:szCs w:val="28"/>
        </w:rPr>
        <w:t>新获得二类、三类医疗器械注册证并投产医疗器械类企业，分别给予30万元、50万元一次性奖励。</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仿宋_GB2312"/>
          <w:spacing w:val="0"/>
          <w:sz w:val="28"/>
          <w:szCs w:val="28"/>
        </w:rPr>
        <w:t>2．获国防科研资质证且年度主营业务收入达到1000万元以上的企业</w:t>
      </w:r>
      <w:r>
        <w:rPr>
          <w:rFonts w:hint="eastAsia" w:ascii="Times New Roman" w:hAnsi="Times New Roman" w:eastAsia="仿宋_GB2312" w:cs="Times New Roman"/>
          <w:spacing w:val="0"/>
          <w:sz w:val="28"/>
          <w:szCs w:val="28"/>
          <w:shd w:val="clear" w:color="auto" w:fill="FFFFFF"/>
        </w:rPr>
        <w:t>，每获“一证”给予10万元</w:t>
      </w:r>
      <w:r>
        <w:rPr>
          <w:rFonts w:hint="eastAsia" w:ascii="Times New Roman" w:hAnsi="Times New Roman" w:eastAsia="仿宋_GB2312" w:cs="Times New Roman"/>
          <w:spacing w:val="0"/>
          <w:sz w:val="28"/>
          <w:szCs w:val="28"/>
        </w:rPr>
        <w:t>一次性</w:t>
      </w:r>
      <w:r>
        <w:rPr>
          <w:rFonts w:hint="eastAsia" w:ascii="Times New Roman" w:hAnsi="Times New Roman" w:eastAsia="仿宋_GB2312" w:cs="Times New Roman"/>
          <w:spacing w:val="0"/>
          <w:sz w:val="28"/>
          <w:szCs w:val="28"/>
          <w:shd w:val="clear" w:color="auto" w:fill="FFFFFF"/>
        </w:rPr>
        <w:t>奖励（不含重新获得的）。</w:t>
      </w:r>
    </w:p>
    <w:p>
      <w:pPr>
        <w:keepNext w:val="0"/>
        <w:keepLines w:val="0"/>
        <w:pageBreakBefore w:val="0"/>
        <w:widowControl w:val="0"/>
        <w:tabs>
          <w:tab w:val="center" w:pos="4153"/>
        </w:tabs>
        <w:kinsoku/>
        <w:wordWrap/>
        <w:overflowPunct/>
        <w:topLinePunct w:val="0"/>
        <w:autoSpaceDE/>
        <w:autoSpaceDN/>
        <w:bidi w:val="0"/>
        <w:adjustRightInd/>
        <w:snapToGrid/>
        <w:spacing w:before="322" w:beforeLines="100" w:after="322" w:afterLines="100" w:line="520" w:lineRule="exact"/>
        <w:jc w:val="center"/>
        <w:textAlignment w:val="auto"/>
        <w:outlineLvl w:val="1"/>
        <w:rPr>
          <w:rFonts w:ascii="Times New Roman" w:hAnsi="Times New Roman" w:eastAsia="黑体" w:cs="Times New Roman"/>
          <w:spacing w:val="0"/>
          <w:sz w:val="28"/>
          <w:szCs w:val="28"/>
        </w:rPr>
      </w:pPr>
      <w:bookmarkStart w:id="84" w:name="_Toc12617"/>
      <w:r>
        <w:rPr>
          <w:rFonts w:ascii="Times New Roman" w:hAnsi="Times New Roman" w:eastAsia="黑体" w:cs="Times New Roman"/>
          <w:spacing w:val="0"/>
          <w:sz w:val="28"/>
          <w:szCs w:val="28"/>
        </w:rPr>
        <w:t>第</w:t>
      </w:r>
      <w:r>
        <w:rPr>
          <w:rFonts w:hint="eastAsia" w:ascii="Times New Roman" w:hAnsi="Times New Roman" w:eastAsia="黑体" w:cs="Times New Roman"/>
          <w:spacing w:val="0"/>
          <w:sz w:val="28"/>
          <w:szCs w:val="28"/>
        </w:rPr>
        <w:t>六</w:t>
      </w:r>
      <w:r>
        <w:rPr>
          <w:rFonts w:ascii="Times New Roman" w:hAnsi="Times New Roman" w:eastAsia="黑体" w:cs="Times New Roman"/>
          <w:spacing w:val="0"/>
          <w:sz w:val="28"/>
          <w:szCs w:val="28"/>
        </w:rPr>
        <w:t xml:space="preserve">章  </w:t>
      </w:r>
      <w:r>
        <w:rPr>
          <w:rFonts w:hint="eastAsia" w:ascii="Times New Roman" w:hAnsi="Times New Roman" w:eastAsia="黑体" w:cs="Times New Roman"/>
          <w:spacing w:val="0"/>
          <w:sz w:val="28"/>
          <w:szCs w:val="28"/>
        </w:rPr>
        <w:t>创新提质</w:t>
      </w:r>
      <w:r>
        <w:rPr>
          <w:rFonts w:ascii="Times New Roman" w:hAnsi="Times New Roman" w:eastAsia="黑体" w:cs="Times New Roman"/>
          <w:spacing w:val="0"/>
          <w:sz w:val="28"/>
          <w:szCs w:val="28"/>
        </w:rPr>
        <w:t>奖</w:t>
      </w:r>
      <w:bookmarkEnd w:id="84"/>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85" w:name="_Toc31307"/>
      <w:r>
        <w:rPr>
          <w:rFonts w:hint="eastAsia" w:ascii="Times New Roman" w:hAnsi="Times New Roman" w:eastAsia="楷体_GB2312" w:cs="楷体_GB2312"/>
          <w:b/>
          <w:bCs w:val="0"/>
          <w:spacing w:val="0"/>
          <w:sz w:val="28"/>
          <w:szCs w:val="28"/>
        </w:rPr>
        <w:t>第二十二条　高新技术企业发展奖</w:t>
      </w:r>
      <w:bookmarkEnd w:id="85"/>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新</w:t>
      </w:r>
      <w:r>
        <w:rPr>
          <w:rFonts w:hint="eastAsia" w:ascii="Times New Roman" w:hAnsi="Times New Roman" w:eastAsia="仿宋_GB2312" w:cs="Times New Roman"/>
          <w:spacing w:val="0"/>
          <w:sz w:val="28"/>
          <w:szCs w:val="28"/>
        </w:rPr>
        <w:t>入驻</w:t>
      </w:r>
      <w:r>
        <w:rPr>
          <w:rFonts w:ascii="Times New Roman" w:hAnsi="Times New Roman" w:eastAsia="仿宋_GB2312" w:cs="Times New Roman"/>
          <w:spacing w:val="0"/>
          <w:sz w:val="28"/>
          <w:szCs w:val="28"/>
        </w:rPr>
        <w:t>或首次评为高新技术企业</w:t>
      </w:r>
      <w:r>
        <w:rPr>
          <w:rFonts w:hint="eastAsia" w:ascii="Times New Roman" w:hAnsi="Times New Roman" w:eastAsia="仿宋_GB2312" w:cs="Times New Roman"/>
          <w:spacing w:val="0"/>
          <w:sz w:val="28"/>
          <w:szCs w:val="28"/>
        </w:rPr>
        <w:t>的，</w:t>
      </w:r>
      <w:r>
        <w:rPr>
          <w:rFonts w:ascii="Times New Roman" w:hAnsi="Times New Roman" w:eastAsia="仿宋_GB2312" w:cs="Times New Roman"/>
          <w:spacing w:val="0"/>
          <w:sz w:val="28"/>
          <w:szCs w:val="28"/>
        </w:rPr>
        <w:t>给予10万元一次性奖励；当年复审评为高新技术企业的</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给予5万元一次性奖励</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纳入高新产值统计的高新技术企业</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年度高新产值超过1亿元</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且同比</w:t>
      </w:r>
      <w:r>
        <w:rPr>
          <w:rFonts w:hint="eastAsia" w:ascii="Times New Roman" w:hAnsi="Times New Roman" w:eastAsia="仿宋_GB2312" w:cs="Times New Roman"/>
          <w:spacing w:val="0"/>
          <w:sz w:val="28"/>
          <w:szCs w:val="28"/>
        </w:rPr>
        <w:t>正</w:t>
      </w:r>
      <w:r>
        <w:rPr>
          <w:rFonts w:ascii="Times New Roman" w:hAnsi="Times New Roman" w:eastAsia="仿宋_GB2312" w:cs="Times New Roman"/>
          <w:spacing w:val="0"/>
          <w:sz w:val="28"/>
          <w:szCs w:val="28"/>
        </w:rPr>
        <w:t>增幅排名前10名</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给予5万元一次性奖励。</w:t>
      </w:r>
      <w:bookmarkStart w:id="86" w:name="_Toc6489"/>
      <w:bookmarkStart w:id="87" w:name="_Toc24371"/>
      <w:bookmarkStart w:id="88" w:name="_Toc1398_WPSOffice_Level2"/>
      <w:bookmarkStart w:id="89" w:name="_Toc15559"/>
      <w:bookmarkStart w:id="90" w:name="_Toc8881"/>
      <w:r>
        <w:rPr>
          <w:rFonts w:ascii="Times New Roman" w:hAnsi="Times New Roman" w:eastAsia="仿宋_GB2312" w:cs="Times New Roman"/>
          <w:spacing w:val="0"/>
          <w:sz w:val="28"/>
          <w:szCs w:val="28"/>
        </w:rPr>
        <w:t>年度研发经费投入超过500万元且</w:t>
      </w:r>
      <w:r>
        <w:rPr>
          <w:rFonts w:hint="eastAsia" w:ascii="Times New Roman" w:hAnsi="Times New Roman" w:eastAsia="仿宋_GB2312" w:cs="Times New Roman"/>
          <w:spacing w:val="0"/>
          <w:sz w:val="28"/>
          <w:szCs w:val="28"/>
        </w:rPr>
        <w:t>正</w:t>
      </w:r>
      <w:r>
        <w:rPr>
          <w:rFonts w:ascii="Times New Roman" w:hAnsi="Times New Roman" w:eastAsia="仿宋_GB2312" w:cs="Times New Roman"/>
          <w:spacing w:val="0"/>
          <w:sz w:val="28"/>
          <w:szCs w:val="28"/>
        </w:rPr>
        <w:t>增速排名前10名</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每个企业给予5万元一次性奖励。</w:t>
      </w:r>
      <w:bookmarkEnd w:id="86"/>
      <w:bookmarkEnd w:id="87"/>
      <w:bookmarkEnd w:id="88"/>
      <w:bookmarkEnd w:id="89"/>
      <w:bookmarkEnd w:id="90"/>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2．新认定的省、市级小巨人企业，分别给予20万元、10万元</w:t>
      </w:r>
      <w:r>
        <w:rPr>
          <w:rFonts w:hint="eastAsia" w:ascii="Times New Roman" w:hAnsi="Times New Roman" w:eastAsia="仿宋_GB2312" w:cs="Times New Roman"/>
          <w:spacing w:val="0"/>
          <w:sz w:val="28"/>
          <w:szCs w:val="28"/>
        </w:rPr>
        <w:t>一次性</w:t>
      </w:r>
      <w:r>
        <w:rPr>
          <w:rFonts w:hint="eastAsia" w:ascii="Times New Roman" w:hAnsi="Times New Roman" w:eastAsia="仿宋_GB2312" w:cs="仿宋_GB2312"/>
          <w:spacing w:val="0"/>
          <w:sz w:val="28"/>
          <w:szCs w:val="28"/>
        </w:rPr>
        <w:t>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91" w:name="_Toc23569"/>
      <w:r>
        <w:rPr>
          <w:rFonts w:hint="eastAsia" w:ascii="Times New Roman" w:hAnsi="Times New Roman" w:eastAsia="楷体_GB2312" w:cs="楷体_GB2312"/>
          <w:b/>
          <w:bCs w:val="0"/>
          <w:spacing w:val="0"/>
          <w:sz w:val="28"/>
          <w:szCs w:val="28"/>
        </w:rPr>
        <w:t>第二十三条  “双创”平台奖</w:t>
      </w:r>
      <w:bookmarkEnd w:id="91"/>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ascii="Times New Roman" w:hAnsi="Times New Roman" w:eastAsia="仿宋_GB2312" w:cs="Times New Roman"/>
          <w:spacing w:val="0"/>
          <w:sz w:val="28"/>
          <w:szCs w:val="28"/>
        </w:rPr>
        <w:t>新获批或引进的国家、省、市级孵化器、众创空间、小微企业创业基地</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连续</w:t>
      </w:r>
      <w:r>
        <w:rPr>
          <w:rFonts w:hint="eastAsia" w:ascii="Times New Roman" w:hAnsi="Times New Roman" w:eastAsia="仿宋_GB2312" w:cs="Times New Roman"/>
          <w:spacing w:val="0"/>
          <w:sz w:val="28"/>
          <w:szCs w:val="28"/>
        </w:rPr>
        <w:t>3</w:t>
      </w:r>
      <w:r>
        <w:rPr>
          <w:rFonts w:ascii="Times New Roman" w:hAnsi="Times New Roman" w:eastAsia="仿宋_GB2312" w:cs="Times New Roman"/>
          <w:spacing w:val="0"/>
          <w:sz w:val="28"/>
          <w:szCs w:val="28"/>
        </w:rPr>
        <w:t>年</w:t>
      </w:r>
      <w:r>
        <w:rPr>
          <w:rFonts w:hint="eastAsia" w:ascii="Times New Roman" w:hAnsi="Times New Roman" w:eastAsia="仿宋_GB2312" w:cs="Times New Roman"/>
          <w:spacing w:val="0"/>
          <w:sz w:val="28"/>
          <w:szCs w:val="28"/>
        </w:rPr>
        <w:t>每年</w:t>
      </w:r>
      <w:r>
        <w:rPr>
          <w:rFonts w:ascii="Times New Roman" w:hAnsi="Times New Roman" w:eastAsia="仿宋_GB2312" w:cs="Times New Roman"/>
          <w:spacing w:val="0"/>
          <w:sz w:val="28"/>
          <w:szCs w:val="28"/>
        </w:rPr>
        <w:t>分别给予50万元、30万元、20万元运营补贴</w:t>
      </w:r>
      <w:r>
        <w:rPr>
          <w:rFonts w:hint="eastAsia" w:ascii="Times New Roman" w:hAnsi="Times New Roman" w:eastAsia="仿宋_GB2312" w:cs="Times New Roman"/>
          <w:spacing w:val="0"/>
          <w:sz w:val="28"/>
          <w:szCs w:val="28"/>
        </w:rPr>
        <w:t>。</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92" w:name="_Toc4361"/>
      <w:r>
        <w:rPr>
          <w:rFonts w:hint="eastAsia" w:ascii="Times New Roman" w:hAnsi="Times New Roman" w:eastAsia="楷体_GB2312" w:cs="楷体_GB2312"/>
          <w:b/>
          <w:bCs w:val="0"/>
          <w:spacing w:val="0"/>
          <w:sz w:val="28"/>
          <w:szCs w:val="28"/>
        </w:rPr>
        <w:t>第二十四条　物流信息平台奖</w:t>
      </w:r>
      <w:bookmarkEnd w:id="92"/>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企业投资额（不含场地投资）在500万元以上的公共物流信息平台，在建成运营后当年给予实际投资额的20%一次性奖励，奖励金额不超过100万元。企业新采购和应用信息化、智能化系统设备，且一年内设备投入100万元以上，按照实际到位设备和增值税发票，给予设备投资额的20%奖励，奖励金额不超过100万元。</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楷体_GB2312" w:cs="楷体_GB2312"/>
          <w:b/>
          <w:bCs/>
          <w:spacing w:val="0"/>
          <w:sz w:val="28"/>
          <w:szCs w:val="28"/>
        </w:rPr>
      </w:pPr>
      <w:r>
        <w:rPr>
          <w:rFonts w:hint="eastAsia" w:ascii="Times New Roman" w:hAnsi="Times New Roman" w:eastAsia="仿宋_GB2312" w:cs="仿宋_GB2312"/>
          <w:spacing w:val="0"/>
          <w:sz w:val="28"/>
          <w:szCs w:val="28"/>
        </w:rPr>
        <w:t>2．新（改）建冷库体积在5000m³以上的冷链物流体系建设项目，按其投资额的10%给予奖励，奖励金额不超过100万元。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93" w:name="_Toc28977"/>
      <w:r>
        <w:rPr>
          <w:rFonts w:hint="eastAsia" w:ascii="Times New Roman" w:hAnsi="Times New Roman" w:eastAsia="楷体_GB2312" w:cs="楷体_GB2312"/>
          <w:b/>
          <w:bCs w:val="0"/>
          <w:spacing w:val="0"/>
          <w:sz w:val="28"/>
          <w:szCs w:val="28"/>
        </w:rPr>
        <w:t>第二十五条　研发鼓励奖</w:t>
      </w:r>
      <w:bookmarkEnd w:id="93"/>
    </w:p>
    <w:p>
      <w:pPr>
        <w:keepNext w:val="0"/>
        <w:keepLines w:val="0"/>
        <w:pageBreakBefore w:val="0"/>
        <w:widowControl w:val="0"/>
        <w:tabs>
          <w:tab w:val="center" w:pos="4153"/>
        </w:tabs>
        <w:kinsoku/>
        <w:wordWrap/>
        <w:overflowPunct/>
        <w:topLinePunct w:val="0"/>
        <w:autoSpaceDE/>
        <w:bidi w:val="0"/>
        <w:spacing w:line="520" w:lineRule="exact"/>
        <w:ind w:firstLine="536" w:firstLineChars="200"/>
        <w:textAlignment w:val="auto"/>
        <w:rPr>
          <w:rFonts w:ascii="Times New Roman" w:hAnsi="Times New Roman" w:eastAsia="仿宋_GB2312" w:cs="仿宋_GB2312"/>
          <w:spacing w:val="0"/>
          <w:sz w:val="28"/>
          <w:szCs w:val="28"/>
        </w:rPr>
      </w:pPr>
      <w:r>
        <w:rPr>
          <w:rFonts w:ascii="Times New Roman" w:hAnsi="Times New Roman" w:eastAsia="仿宋_GB2312" w:cs="Times New Roman"/>
          <w:spacing w:val="-6"/>
          <w:sz w:val="28"/>
          <w:szCs w:val="28"/>
        </w:rPr>
        <w:t>新获评或引进的国家、省、市级重点（工程）实验室、工程（技术）研究中心、企业技术中心的</w:t>
      </w:r>
      <w:r>
        <w:rPr>
          <w:rFonts w:hint="eastAsia" w:ascii="Times New Roman" w:hAnsi="Times New Roman" w:eastAsia="仿宋_GB2312" w:cs="Times New Roman"/>
          <w:spacing w:val="-6"/>
          <w:sz w:val="28"/>
          <w:szCs w:val="28"/>
        </w:rPr>
        <w:t>，</w:t>
      </w:r>
      <w:r>
        <w:rPr>
          <w:rFonts w:ascii="Times New Roman" w:hAnsi="Times New Roman" w:eastAsia="仿宋_GB2312" w:cs="Times New Roman"/>
          <w:spacing w:val="-6"/>
          <w:sz w:val="28"/>
          <w:szCs w:val="28"/>
        </w:rPr>
        <w:t>分别给予100万元、50万元、</w:t>
      </w:r>
      <w:r>
        <w:rPr>
          <w:rFonts w:hint="eastAsia" w:ascii="Times New Roman" w:hAnsi="Times New Roman" w:eastAsia="仿宋_GB2312" w:cs="Times New Roman"/>
          <w:spacing w:val="-6"/>
          <w:sz w:val="28"/>
          <w:szCs w:val="28"/>
        </w:rPr>
        <w:t>2</w:t>
      </w:r>
      <w:r>
        <w:rPr>
          <w:rFonts w:ascii="Times New Roman" w:hAnsi="Times New Roman" w:eastAsia="仿宋_GB2312" w:cs="Times New Roman"/>
          <w:spacing w:val="-6"/>
          <w:sz w:val="28"/>
          <w:szCs w:val="28"/>
        </w:rPr>
        <w:t>0万元</w:t>
      </w:r>
      <w:r>
        <w:rPr>
          <w:rFonts w:hint="eastAsia" w:ascii="Times New Roman" w:hAnsi="Times New Roman" w:eastAsia="仿宋_GB2312" w:cs="Times New Roman"/>
          <w:spacing w:val="-6"/>
          <w:sz w:val="28"/>
          <w:szCs w:val="28"/>
        </w:rPr>
        <w:t>一次性</w:t>
      </w:r>
      <w:r>
        <w:rPr>
          <w:rFonts w:ascii="Times New Roman" w:hAnsi="Times New Roman" w:eastAsia="仿宋_GB2312" w:cs="Times New Roman"/>
          <w:spacing w:val="-6"/>
          <w:sz w:val="28"/>
          <w:szCs w:val="28"/>
        </w:rPr>
        <w:t>奖励；新建立的院士专家工作站</w:t>
      </w:r>
      <w:r>
        <w:rPr>
          <w:rFonts w:hint="eastAsia" w:ascii="Times New Roman" w:hAnsi="Times New Roman" w:eastAsia="仿宋_GB2312" w:cs="Times New Roman"/>
          <w:spacing w:val="-6"/>
          <w:sz w:val="28"/>
          <w:szCs w:val="28"/>
        </w:rPr>
        <w:t>，</w:t>
      </w:r>
      <w:r>
        <w:rPr>
          <w:rFonts w:ascii="Times New Roman" w:hAnsi="Times New Roman" w:eastAsia="仿宋_GB2312" w:cs="Times New Roman"/>
          <w:spacing w:val="-6"/>
          <w:sz w:val="28"/>
          <w:szCs w:val="28"/>
        </w:rPr>
        <w:t>连续3年</w:t>
      </w:r>
      <w:r>
        <w:rPr>
          <w:rFonts w:hint="eastAsia" w:ascii="Times New Roman" w:hAnsi="Times New Roman" w:eastAsia="仿宋_GB2312" w:cs="Times New Roman"/>
          <w:spacing w:val="-6"/>
          <w:sz w:val="28"/>
          <w:szCs w:val="28"/>
        </w:rPr>
        <w:t>每年</w:t>
      </w:r>
      <w:r>
        <w:rPr>
          <w:rFonts w:ascii="Times New Roman" w:hAnsi="Times New Roman" w:eastAsia="仿宋_GB2312" w:cs="Times New Roman"/>
          <w:spacing w:val="-6"/>
          <w:sz w:val="28"/>
          <w:szCs w:val="28"/>
        </w:rPr>
        <w:t>分别给予100万元奖励。</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94" w:name="_Toc27067"/>
      <w:r>
        <w:rPr>
          <w:rFonts w:hint="eastAsia" w:ascii="Times New Roman" w:hAnsi="Times New Roman" w:eastAsia="楷体_GB2312" w:cs="楷体_GB2312"/>
          <w:b/>
          <w:bCs w:val="0"/>
          <w:spacing w:val="0"/>
          <w:sz w:val="28"/>
          <w:szCs w:val="28"/>
        </w:rPr>
        <w:t>第二十六条　专利版权补贴奖</w:t>
      </w:r>
      <w:bookmarkEnd w:id="94"/>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获得国内发明专利授权的</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按2000元/件的标准给予</w:t>
      </w:r>
      <w:r>
        <w:rPr>
          <w:rFonts w:hint="eastAsia" w:ascii="Times New Roman" w:hAnsi="Times New Roman" w:eastAsia="仿宋_GB2312" w:cs="Times New Roman"/>
          <w:spacing w:val="0"/>
          <w:sz w:val="28"/>
          <w:szCs w:val="28"/>
        </w:rPr>
        <w:t>补贴</w:t>
      </w:r>
      <w:r>
        <w:rPr>
          <w:rFonts w:ascii="Times New Roman" w:hAnsi="Times New Roman" w:eastAsia="仿宋_GB2312" w:cs="Times New Roman"/>
          <w:spacing w:val="0"/>
          <w:sz w:val="28"/>
          <w:szCs w:val="28"/>
        </w:rPr>
        <w:t>（含香港、澳门、台湾地区授权的发明专利）；依照《专利合作条约》（简称PCT）规定提交的国际发明专利申请</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获得国外发明专利授权一年内申请</w:t>
      </w:r>
      <w:r>
        <w:rPr>
          <w:rFonts w:hint="eastAsia" w:ascii="Times New Roman" w:hAnsi="Times New Roman" w:eastAsia="仿宋_GB2312" w:cs="Times New Roman"/>
          <w:spacing w:val="0"/>
          <w:sz w:val="28"/>
          <w:szCs w:val="28"/>
        </w:rPr>
        <w:t>补贴</w:t>
      </w:r>
      <w:r>
        <w:rPr>
          <w:rFonts w:ascii="Times New Roman" w:hAnsi="Times New Roman" w:eastAsia="仿宋_GB2312" w:cs="Times New Roman"/>
          <w:spacing w:val="0"/>
          <w:sz w:val="28"/>
          <w:szCs w:val="28"/>
        </w:rPr>
        <w:t>的</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按4000元/件的标准给予</w:t>
      </w:r>
      <w:r>
        <w:rPr>
          <w:rFonts w:hint="eastAsia" w:ascii="Times New Roman" w:hAnsi="Times New Roman" w:eastAsia="仿宋_GB2312" w:cs="Times New Roman"/>
          <w:spacing w:val="0"/>
          <w:sz w:val="28"/>
          <w:szCs w:val="28"/>
        </w:rPr>
        <w:t>补贴</w:t>
      </w:r>
      <w:r>
        <w:rPr>
          <w:rFonts w:ascii="Times New Roman" w:hAnsi="Times New Roman" w:eastAsia="仿宋_GB2312" w:cs="Times New Roman"/>
          <w:spacing w:val="0"/>
          <w:sz w:val="28"/>
          <w:szCs w:val="28"/>
        </w:rPr>
        <w:t>（同一专利在多个国家或地区授权的只</w:t>
      </w:r>
      <w:r>
        <w:rPr>
          <w:rFonts w:hint="eastAsia" w:ascii="Times New Roman" w:hAnsi="Times New Roman" w:eastAsia="仿宋_GB2312" w:cs="Times New Roman"/>
          <w:spacing w:val="0"/>
          <w:sz w:val="28"/>
          <w:szCs w:val="28"/>
        </w:rPr>
        <w:t>补贴</w:t>
      </w:r>
      <w:r>
        <w:rPr>
          <w:rFonts w:ascii="Times New Roman" w:hAnsi="Times New Roman" w:eastAsia="仿宋_GB2312" w:cs="Times New Roman"/>
          <w:spacing w:val="0"/>
          <w:sz w:val="28"/>
          <w:szCs w:val="28"/>
        </w:rPr>
        <w:t>一次）。</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对当年在省级及以上版权管理部门取得版权（著作权）登记证书20件以上的，给予2万元补贴。每增加20件，补贴递增2万元，补贴金额不超过20万元。</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95" w:name="_Toc12940"/>
      <w:r>
        <w:rPr>
          <w:rFonts w:hint="eastAsia" w:ascii="Times New Roman" w:hAnsi="Times New Roman" w:eastAsia="楷体_GB2312" w:cs="楷体_GB2312"/>
          <w:b/>
          <w:bCs w:val="0"/>
          <w:spacing w:val="0"/>
          <w:sz w:val="28"/>
          <w:szCs w:val="28"/>
        </w:rPr>
        <w:t>第二十七条  升级改造奖</w:t>
      </w:r>
      <w:bookmarkEnd w:id="95"/>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1．获评省、市级智能制造服务提供商资质的企业，给予20万元、10万元一次性奖励；智能制造服务商为区内智能制造企业提供系统解决方案并被企业采用实施的，按2万元/家的标准奖励服务提供商。</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仿宋_GB2312"/>
          <w:spacing w:val="0"/>
          <w:sz w:val="28"/>
          <w:szCs w:val="28"/>
        </w:rPr>
        <w:t>2．当年新认定的国家、省、市级智能制造试点示范企业（车间），分别给予100万元、50万元、</w:t>
      </w:r>
      <w:r>
        <w:rPr>
          <w:rFonts w:hint="eastAsia" w:ascii="Times New Roman" w:hAnsi="Times New Roman" w:eastAsia="仿宋_GB2312" w:cs="仿宋_GB2312"/>
          <w:spacing w:val="-6"/>
          <w:sz w:val="28"/>
          <w:szCs w:val="28"/>
        </w:rPr>
        <w:t>30万元</w:t>
      </w:r>
      <w:r>
        <w:rPr>
          <w:rFonts w:hint="eastAsia" w:ascii="Times New Roman" w:hAnsi="Times New Roman" w:eastAsia="仿宋_GB2312" w:cs="Times New Roman"/>
          <w:spacing w:val="-6"/>
          <w:sz w:val="28"/>
          <w:szCs w:val="28"/>
        </w:rPr>
        <w:t>一次性</w:t>
      </w:r>
      <w:r>
        <w:rPr>
          <w:rFonts w:hint="eastAsia" w:ascii="Times New Roman" w:hAnsi="Times New Roman" w:eastAsia="仿宋_GB2312" w:cs="仿宋_GB2312"/>
          <w:spacing w:val="-6"/>
          <w:sz w:val="28"/>
          <w:szCs w:val="28"/>
        </w:rPr>
        <w:t>奖励。获评国家、省级智能装备首台（套）产品的，分别给予50万元、30万元一次性奖励。</w:t>
      </w:r>
    </w:p>
    <w:p>
      <w:pPr>
        <w:keepNext w:val="0"/>
        <w:keepLines w:val="0"/>
        <w:pageBreakBefore w:val="0"/>
        <w:widowControl w:val="0"/>
        <w:tabs>
          <w:tab w:val="center" w:pos="4153"/>
        </w:tabs>
        <w:kinsoku/>
        <w:wordWrap/>
        <w:overflowPunct/>
        <w:topLinePunct w:val="0"/>
        <w:autoSpaceDE/>
        <w:autoSpaceDN/>
        <w:bidi w:val="0"/>
        <w:adjustRightInd/>
        <w:snapToGrid/>
        <w:spacing w:before="322" w:beforeLines="100" w:after="322" w:afterLines="100" w:line="520" w:lineRule="exact"/>
        <w:jc w:val="center"/>
        <w:textAlignment w:val="auto"/>
        <w:outlineLvl w:val="1"/>
        <w:rPr>
          <w:rFonts w:ascii="Times New Roman" w:hAnsi="Times New Roman" w:eastAsia="黑体" w:cs="Times New Roman"/>
          <w:spacing w:val="0"/>
          <w:sz w:val="28"/>
          <w:szCs w:val="28"/>
        </w:rPr>
      </w:pPr>
      <w:bookmarkStart w:id="96" w:name="_Toc2173"/>
      <w:r>
        <w:rPr>
          <w:rFonts w:ascii="Times New Roman" w:hAnsi="Times New Roman" w:eastAsia="黑体" w:cs="Times New Roman"/>
          <w:spacing w:val="0"/>
          <w:sz w:val="28"/>
          <w:szCs w:val="28"/>
        </w:rPr>
        <w:t>第</w:t>
      </w:r>
      <w:r>
        <w:rPr>
          <w:rFonts w:hint="eastAsia" w:ascii="Times New Roman" w:hAnsi="Times New Roman" w:eastAsia="黑体" w:cs="Times New Roman"/>
          <w:spacing w:val="0"/>
          <w:sz w:val="28"/>
          <w:szCs w:val="28"/>
        </w:rPr>
        <w:t>七</w:t>
      </w:r>
      <w:r>
        <w:rPr>
          <w:rFonts w:ascii="Times New Roman" w:hAnsi="Times New Roman" w:eastAsia="黑体" w:cs="Times New Roman"/>
          <w:spacing w:val="0"/>
          <w:sz w:val="28"/>
          <w:szCs w:val="28"/>
        </w:rPr>
        <w:t>章  附  则</w:t>
      </w:r>
      <w:bookmarkEnd w:id="75"/>
      <w:bookmarkEnd w:id="76"/>
      <w:bookmarkEnd w:id="77"/>
      <w:bookmarkEnd w:id="78"/>
      <w:bookmarkEnd w:id="79"/>
      <w:bookmarkEnd w:id="80"/>
      <w:bookmarkEnd w:id="96"/>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97" w:name="_Toc28167"/>
      <w:bookmarkStart w:id="98" w:name="_Toc11156"/>
      <w:bookmarkStart w:id="99" w:name="_Toc8891"/>
      <w:bookmarkStart w:id="100" w:name="_Toc31753"/>
      <w:bookmarkStart w:id="101" w:name="_Toc24170"/>
      <w:bookmarkStart w:id="102" w:name="_Toc28722"/>
      <w:bookmarkStart w:id="103" w:name="_Toc894_WPSOffice_Level2"/>
      <w:r>
        <w:rPr>
          <w:rFonts w:hint="eastAsia" w:ascii="Times New Roman" w:hAnsi="Times New Roman" w:eastAsia="楷体_GB2312" w:cs="楷体_GB2312"/>
          <w:b/>
          <w:bCs w:val="0"/>
          <w:spacing w:val="0"/>
          <w:sz w:val="28"/>
          <w:szCs w:val="28"/>
        </w:rPr>
        <w:t>第二十八条　奖励程序</w:t>
      </w:r>
      <w:bookmarkEnd w:id="97"/>
      <w:bookmarkEnd w:id="98"/>
      <w:bookmarkEnd w:id="99"/>
      <w:bookmarkEnd w:id="100"/>
      <w:bookmarkEnd w:id="101"/>
      <w:bookmarkEnd w:id="102"/>
      <w:bookmarkEnd w:id="103"/>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bookmarkStart w:id="104" w:name="_Toc6759"/>
      <w:bookmarkStart w:id="105" w:name="_Toc6938"/>
      <w:bookmarkStart w:id="106" w:name="_Toc10813"/>
      <w:bookmarkStart w:id="107" w:name="_Toc10126_WPSOffice_Level2"/>
      <w:bookmarkStart w:id="108" w:name="_Toc19796"/>
      <w:bookmarkStart w:id="109" w:name="_Toc20376"/>
      <w:r>
        <w:rPr>
          <w:rFonts w:hint="eastAsia" w:ascii="Times New Roman" w:hAnsi="Times New Roman" w:eastAsia="仿宋_GB2312" w:cs="Times New Roman"/>
          <w:spacing w:val="0"/>
          <w:sz w:val="28"/>
          <w:szCs w:val="28"/>
        </w:rPr>
        <w:t>本办法按年度计奖。人才引进政策按照《开福区贯彻落实“长沙人才新政”的若干措施》（开发〔2017〕19号）执行。由区经济发展奖励工作领导小组办公室（区发改局）发布申报通知，符合本办法的奖励对象在规定时间内向相应主管部门进行申报，主管部门审查把关（金霞经开区范围内企业向园区管委会上报），区发改局汇总审核，报区政府常务会、区委常</w:t>
      </w:r>
      <w:r>
        <w:rPr>
          <w:rFonts w:hint="eastAsia" w:ascii="Times New Roman" w:hAnsi="Times New Roman" w:eastAsia="仿宋_GB2312" w:cs="Times New Roman"/>
          <w:spacing w:val="-6"/>
          <w:sz w:val="28"/>
          <w:szCs w:val="28"/>
        </w:rPr>
        <w:t>委会会议审定。分别由区财政局和金霞经开区负责奖励兑现（金霞经开区范围内企业由园区管委会负责兑现）。</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110" w:name="_Toc23189"/>
      <w:r>
        <w:rPr>
          <w:rFonts w:hint="eastAsia" w:ascii="Times New Roman" w:hAnsi="Times New Roman" w:eastAsia="楷体_GB2312" w:cs="楷体_GB2312"/>
          <w:b/>
          <w:bCs w:val="0"/>
          <w:spacing w:val="0"/>
          <w:sz w:val="28"/>
          <w:szCs w:val="28"/>
        </w:rPr>
        <w:t>第二十九条　约束条件</w:t>
      </w:r>
      <w:bookmarkEnd w:id="104"/>
      <w:bookmarkEnd w:id="105"/>
      <w:bookmarkEnd w:id="106"/>
      <w:bookmarkEnd w:id="107"/>
      <w:bookmarkEnd w:id="108"/>
      <w:bookmarkEnd w:id="109"/>
      <w:bookmarkEnd w:id="110"/>
      <w:r>
        <w:rPr>
          <w:rFonts w:hint="eastAsia" w:ascii="Times New Roman" w:hAnsi="Times New Roman" w:eastAsia="楷体_GB2312" w:cs="楷体_GB2312"/>
          <w:b/>
          <w:bCs w:val="0"/>
          <w:spacing w:val="0"/>
          <w:sz w:val="28"/>
          <w:szCs w:val="28"/>
        </w:rPr>
        <w:t xml:space="preserve"> </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bookmarkStart w:id="111" w:name="_Toc29026"/>
      <w:bookmarkStart w:id="112" w:name="_Toc30836_WPSOffice_Level2"/>
      <w:bookmarkStart w:id="113" w:name="_Toc5229"/>
      <w:bookmarkStart w:id="114" w:name="_Toc16186"/>
      <w:bookmarkStart w:id="115" w:name="_Toc5478"/>
      <w:r>
        <w:rPr>
          <w:rFonts w:hint="eastAsia" w:ascii="Times New Roman" w:hAnsi="Times New Roman" w:eastAsia="仿宋_GB2312" w:cs="Times New Roman"/>
          <w:spacing w:val="0"/>
          <w:sz w:val="28"/>
          <w:szCs w:val="28"/>
        </w:rPr>
        <w:t>1</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奖励对象有下列情形之一者不予奖励：</w:t>
      </w:r>
      <w:r>
        <w:rPr>
          <w:rFonts w:hint="eastAsia" w:ascii="Times New Roman" w:hAnsi="Times New Roman" w:eastAsia="仿宋_GB2312" w:cs="Times New Roman"/>
          <w:spacing w:val="0"/>
          <w:sz w:val="28"/>
          <w:szCs w:val="28"/>
        </w:rPr>
        <w:t>当年</w:t>
      </w:r>
      <w:r>
        <w:rPr>
          <w:rFonts w:ascii="Times New Roman" w:hAnsi="Times New Roman" w:eastAsia="仿宋_GB2312" w:cs="Times New Roman"/>
          <w:spacing w:val="0"/>
          <w:sz w:val="28"/>
          <w:szCs w:val="28"/>
        </w:rPr>
        <w:t>发生重大安全生产责任事故</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有严重违法违规行为的</w:t>
      </w:r>
      <w:r>
        <w:rPr>
          <w:rFonts w:ascii="Times New Roman" w:hAnsi="Times New Roman" w:eastAsia="仿宋_GB2312" w:cs="Times New Roman"/>
          <w:spacing w:val="-6"/>
          <w:sz w:val="28"/>
          <w:szCs w:val="28"/>
        </w:rPr>
        <w:t>企业或个人；有偷税、抗税、转移税收等违反税法行为的企业或个人；有污染或污染物排放不达标的企业</w:t>
      </w:r>
      <w:r>
        <w:rPr>
          <w:rFonts w:hint="eastAsia" w:ascii="Times New Roman" w:hAnsi="Times New Roman" w:eastAsia="仿宋_GB2312" w:cs="Times New Roman"/>
          <w:spacing w:val="-6"/>
          <w:sz w:val="28"/>
          <w:szCs w:val="28"/>
        </w:rPr>
        <w:t>等</w:t>
      </w:r>
      <w:r>
        <w:rPr>
          <w:rFonts w:ascii="Times New Roman" w:hAnsi="Times New Roman" w:eastAsia="仿宋_GB2312" w:cs="Times New Roman"/>
          <w:spacing w:val="-6"/>
          <w:sz w:val="28"/>
          <w:szCs w:val="28"/>
        </w:rPr>
        <w:t>。</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同类型奖励不重复计算</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按就高不就低原则</w:t>
      </w:r>
      <w:r>
        <w:rPr>
          <w:rFonts w:hint="eastAsia" w:ascii="Times New Roman" w:hAnsi="Times New Roman" w:eastAsia="仿宋_GB2312" w:cs="Times New Roman"/>
          <w:spacing w:val="0"/>
          <w:sz w:val="28"/>
          <w:szCs w:val="28"/>
        </w:rPr>
        <w:t>执行</w:t>
      </w:r>
      <w:r>
        <w:rPr>
          <w:rFonts w:ascii="Times New Roman" w:hAnsi="Times New Roman" w:eastAsia="仿宋_GB2312" w:cs="Times New Roman"/>
          <w:spacing w:val="0"/>
          <w:sz w:val="28"/>
          <w:szCs w:val="28"/>
        </w:rPr>
        <w:t>；企业当年获得的所有奖励</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原则不超过本年度区级贡献（</w:t>
      </w:r>
      <w:r>
        <w:rPr>
          <w:rFonts w:hint="eastAsia" w:ascii="Times New Roman" w:hAnsi="Times New Roman" w:eastAsia="仿宋_GB2312" w:cs="Times New Roman"/>
          <w:spacing w:val="0"/>
          <w:sz w:val="28"/>
          <w:szCs w:val="28"/>
        </w:rPr>
        <w:t>产业培育</w:t>
      </w:r>
      <w:r>
        <w:rPr>
          <w:rFonts w:ascii="Times New Roman" w:hAnsi="Times New Roman" w:eastAsia="仿宋_GB2312" w:cs="Times New Roman"/>
          <w:spacing w:val="0"/>
          <w:sz w:val="28"/>
          <w:szCs w:val="28"/>
        </w:rPr>
        <w:t>奖</w:t>
      </w:r>
      <w:r>
        <w:rPr>
          <w:rFonts w:hint="eastAsia" w:ascii="Times New Roman" w:hAnsi="Times New Roman" w:eastAsia="仿宋_GB2312" w:cs="Times New Roman"/>
          <w:spacing w:val="0"/>
          <w:sz w:val="28"/>
          <w:szCs w:val="28"/>
        </w:rPr>
        <w:t>、创新提质奖原则上</w:t>
      </w:r>
      <w:r>
        <w:rPr>
          <w:rFonts w:ascii="Times New Roman" w:hAnsi="Times New Roman" w:eastAsia="仿宋_GB2312" w:cs="Times New Roman"/>
          <w:spacing w:val="0"/>
          <w:sz w:val="28"/>
          <w:szCs w:val="28"/>
        </w:rPr>
        <w:t>不与企业当年区级贡献挂钩）；依法获得土地使用权后闲置满24个月以上的企业原则上不予奖励。</w:t>
      </w:r>
    </w:p>
    <w:p>
      <w:pPr>
        <w:keepNext w:val="0"/>
        <w:keepLines w:val="0"/>
        <w:pageBreakBefore w:val="0"/>
        <w:widowControl w:val="0"/>
        <w:kinsoku/>
        <w:wordWrap/>
        <w:overflowPunct/>
        <w:topLinePunct w:val="0"/>
        <w:autoSpaceDE/>
        <w:bidi w:val="0"/>
        <w:spacing w:line="520" w:lineRule="exact"/>
        <w:ind w:firstLine="560" w:firstLineChars="200"/>
        <w:textAlignment w:val="auto"/>
        <w:rPr>
          <w:rFonts w:ascii="Times New Roman" w:hAnsi="Times New Roman" w:eastAsia="仿宋_GB2312" w:cs="仿宋_GB2312"/>
          <w:spacing w:val="0"/>
          <w:sz w:val="28"/>
          <w:szCs w:val="28"/>
        </w:rPr>
      </w:pPr>
      <w:r>
        <w:rPr>
          <w:rFonts w:hint="eastAsia" w:ascii="Times New Roman" w:hAnsi="Times New Roman" w:eastAsia="仿宋_GB2312" w:cs="仿宋_GB2312"/>
          <w:spacing w:val="0"/>
          <w:sz w:val="28"/>
          <w:szCs w:val="28"/>
        </w:rPr>
        <w:t>3．凡享受购地自建、购房、租赁等扶植的企业，须承诺5年内不迁出本区，如有违反须退还已享受扶植资金。享受租赁补贴期间，不得将自用办公用房对外出租、转让或改变用途，违反上述规定须退回所获租房补贴资金。</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4</w:t>
      </w:r>
      <w:r>
        <w:rPr>
          <w:rFonts w:hint="eastAsia" w:ascii="Times New Roman" w:hAnsi="Times New Roman" w:eastAsia="仿宋_GB2312" w:cs="仿宋_GB2312"/>
          <w:spacing w:val="0"/>
          <w:sz w:val="28"/>
          <w:szCs w:val="28"/>
        </w:rPr>
        <w:t>．</w:t>
      </w:r>
      <w:r>
        <w:rPr>
          <w:rFonts w:ascii="Times New Roman" w:hAnsi="Times New Roman" w:eastAsia="仿宋_GB2312" w:cs="Times New Roman"/>
          <w:spacing w:val="0"/>
          <w:sz w:val="28"/>
          <w:szCs w:val="28"/>
        </w:rPr>
        <w:t>凡享受了</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一事一议</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或其他</w:t>
      </w:r>
      <w:r>
        <w:rPr>
          <w:rFonts w:hint="eastAsia" w:ascii="Times New Roman" w:hAnsi="Times New Roman" w:eastAsia="仿宋_GB2312" w:cs="Times New Roman"/>
          <w:spacing w:val="0"/>
          <w:sz w:val="28"/>
          <w:szCs w:val="28"/>
        </w:rPr>
        <w:t>合同</w:t>
      </w:r>
      <w:r>
        <w:rPr>
          <w:rFonts w:ascii="Times New Roman" w:hAnsi="Times New Roman" w:eastAsia="仿宋_GB2312" w:cs="Times New Roman"/>
          <w:spacing w:val="0"/>
          <w:sz w:val="28"/>
          <w:szCs w:val="28"/>
        </w:rPr>
        <w:t>有关优惠政策的企业和</w:t>
      </w:r>
      <w:r>
        <w:rPr>
          <w:rFonts w:hint="eastAsia" w:ascii="Times New Roman" w:hAnsi="Times New Roman" w:eastAsia="仿宋_GB2312" w:cs="Times New Roman"/>
          <w:spacing w:val="0"/>
          <w:sz w:val="28"/>
          <w:szCs w:val="28"/>
        </w:rPr>
        <w:t>房地产企业，</w:t>
      </w:r>
      <w:r>
        <w:rPr>
          <w:rFonts w:ascii="Times New Roman" w:hAnsi="Times New Roman" w:eastAsia="仿宋_GB2312" w:cs="Times New Roman"/>
          <w:spacing w:val="0"/>
          <w:sz w:val="28"/>
          <w:szCs w:val="28"/>
        </w:rPr>
        <w:t>不适用本办法。</w:t>
      </w:r>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5</w:t>
      </w:r>
      <w:r>
        <w:rPr>
          <w:rFonts w:hint="eastAsia" w:ascii="Times New Roman" w:hAnsi="Times New Roman" w:eastAsia="仿宋_GB2312" w:cs="仿宋_GB2312"/>
          <w:spacing w:val="0"/>
          <w:sz w:val="28"/>
          <w:szCs w:val="28"/>
        </w:rPr>
        <w:t>．</w:t>
      </w:r>
      <w:r>
        <w:rPr>
          <w:rFonts w:hint="eastAsia" w:ascii="Times New Roman" w:hAnsi="Times New Roman" w:eastAsia="仿宋_GB2312" w:cs="Times New Roman"/>
          <w:spacing w:val="0"/>
          <w:sz w:val="28"/>
          <w:szCs w:val="28"/>
        </w:rPr>
        <w:t>本办法所称“以上”“以下”“以内”“达到”，包括本数。</w:t>
      </w:r>
    </w:p>
    <w:p>
      <w:pPr>
        <w:keepNext w:val="0"/>
        <w:keepLines w:val="0"/>
        <w:pageBreakBefore w:val="0"/>
        <w:widowControl w:val="0"/>
        <w:tabs>
          <w:tab w:val="center" w:pos="4153"/>
        </w:tabs>
        <w:kinsoku/>
        <w:wordWrap/>
        <w:overflowPunct/>
        <w:topLinePunct w:val="0"/>
        <w:autoSpaceDE/>
        <w:bidi w:val="0"/>
        <w:spacing w:line="520" w:lineRule="exact"/>
        <w:ind w:firstLine="562" w:firstLineChars="200"/>
        <w:textAlignment w:val="auto"/>
        <w:outlineLvl w:val="2"/>
        <w:rPr>
          <w:rFonts w:hint="eastAsia" w:ascii="Times New Roman" w:hAnsi="Times New Roman" w:eastAsia="楷体_GB2312" w:cs="楷体_GB2312"/>
          <w:b/>
          <w:bCs w:val="0"/>
          <w:spacing w:val="0"/>
          <w:sz w:val="28"/>
          <w:szCs w:val="28"/>
        </w:rPr>
      </w:pPr>
      <w:bookmarkStart w:id="116" w:name="_Toc28697"/>
      <w:bookmarkStart w:id="117" w:name="_Toc7343"/>
      <w:r>
        <w:rPr>
          <w:rFonts w:hint="eastAsia" w:ascii="Times New Roman" w:hAnsi="Times New Roman" w:eastAsia="楷体_GB2312" w:cs="楷体_GB2312"/>
          <w:b/>
          <w:bCs w:val="0"/>
          <w:spacing w:val="0"/>
          <w:sz w:val="28"/>
          <w:szCs w:val="28"/>
        </w:rPr>
        <w:t>第三十条　效力与解释</w:t>
      </w:r>
      <w:bookmarkEnd w:id="111"/>
      <w:bookmarkEnd w:id="112"/>
      <w:bookmarkEnd w:id="113"/>
      <w:bookmarkEnd w:id="114"/>
      <w:bookmarkEnd w:id="115"/>
      <w:bookmarkEnd w:id="116"/>
      <w:bookmarkEnd w:id="117"/>
    </w:p>
    <w:p>
      <w:pPr>
        <w:keepNext w:val="0"/>
        <w:keepLines w:val="0"/>
        <w:pageBreakBefore w:val="0"/>
        <w:widowControl w:val="0"/>
        <w:tabs>
          <w:tab w:val="center" w:pos="4153"/>
        </w:tabs>
        <w:kinsoku/>
        <w:wordWrap/>
        <w:overflowPunct/>
        <w:topLinePunct w:val="0"/>
        <w:autoSpaceDE/>
        <w:bidi w:val="0"/>
        <w:spacing w:line="520" w:lineRule="exact"/>
        <w:ind w:firstLine="56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pacing w:val="0"/>
          <w:sz w:val="28"/>
          <w:szCs w:val="28"/>
        </w:rPr>
        <w:t>本办法自</w:t>
      </w:r>
      <w:r>
        <w:rPr>
          <w:rFonts w:hint="eastAsia" w:ascii="Times New Roman" w:hAnsi="Times New Roman" w:eastAsia="仿宋_GB2312" w:cs="Times New Roman"/>
          <w:spacing w:val="0"/>
          <w:sz w:val="28"/>
          <w:szCs w:val="28"/>
        </w:rPr>
        <w:t>颁布之日</w:t>
      </w:r>
      <w:r>
        <w:rPr>
          <w:rFonts w:ascii="Times New Roman" w:hAnsi="Times New Roman" w:eastAsia="仿宋_GB2312" w:cs="Times New Roman"/>
          <w:spacing w:val="0"/>
          <w:sz w:val="28"/>
          <w:szCs w:val="28"/>
        </w:rPr>
        <w:t>起实施</w:t>
      </w:r>
      <w:r>
        <w:rPr>
          <w:rFonts w:hint="eastAsia" w:ascii="Times New Roman" w:hAnsi="Times New Roman" w:eastAsia="仿宋_GB2312" w:cs="Times New Roman"/>
          <w:spacing w:val="0"/>
          <w:sz w:val="28"/>
          <w:szCs w:val="28"/>
        </w:rPr>
        <w:t>，</w:t>
      </w:r>
      <w:r>
        <w:rPr>
          <w:rFonts w:ascii="Times New Roman" w:hAnsi="Times New Roman" w:eastAsia="仿宋_GB2312" w:cs="Times New Roman"/>
          <w:spacing w:val="0"/>
          <w:sz w:val="28"/>
          <w:szCs w:val="28"/>
        </w:rPr>
        <w:t>由区经济发展奖励工作领导小组</w:t>
      </w:r>
      <w:r>
        <w:rPr>
          <w:rFonts w:hint="eastAsia" w:ascii="Times New Roman" w:hAnsi="Times New Roman" w:eastAsia="仿宋_GB2312" w:cs="Times New Roman"/>
          <w:spacing w:val="0"/>
          <w:sz w:val="28"/>
          <w:szCs w:val="28"/>
        </w:rPr>
        <w:t>办公室</w:t>
      </w:r>
      <w:r>
        <w:rPr>
          <w:rFonts w:ascii="Times New Roman" w:hAnsi="Times New Roman" w:eastAsia="仿宋_GB2312" w:cs="Times New Roman"/>
          <w:spacing w:val="0"/>
          <w:sz w:val="28"/>
          <w:szCs w:val="28"/>
        </w:rPr>
        <w:t>负责解释。</w:t>
      </w:r>
      <w:r>
        <w:rPr>
          <w:rFonts w:hint="eastAsia" w:ascii="Times New Roman" w:hAnsi="Times New Roman" w:eastAsia="仿宋_GB2312" w:cs="Times New Roman"/>
          <w:sz w:val="32"/>
          <w:szCs w:val="32"/>
        </w:rPr>
        <w:br w:type="page"/>
      </w:r>
      <w:bookmarkStart w:id="118" w:name="_Toc24893"/>
      <w:bookmarkStart w:id="119" w:name="_Toc396748769"/>
      <w:bookmarkStart w:id="120" w:name="_Toc397522072"/>
      <w:bookmarkStart w:id="121" w:name="_Toc350799916"/>
      <w:bookmarkStart w:id="122" w:name="_Toc397522246"/>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Times New Roman"/>
          <w:sz w:val="44"/>
          <w:szCs w:val="44"/>
        </w:rPr>
      </w:pPr>
    </w:p>
    <w:p>
      <w:pPr>
        <w:spacing w:line="560" w:lineRule="exact"/>
        <w:jc w:val="center"/>
        <w:rPr>
          <w:rFonts w:hint="eastAsia"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名 词 解 释</w:t>
      </w:r>
      <w:bookmarkEnd w:id="118"/>
      <w:bookmarkEnd w:id="119"/>
      <w:bookmarkEnd w:id="120"/>
      <w:bookmarkEnd w:id="121"/>
      <w:bookmarkEnd w:id="122"/>
    </w:p>
    <w:p>
      <w:pPr>
        <w:spacing w:line="560" w:lineRule="exact"/>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〔1〕总部：指中国总部和区域性总部。中国总部为在全国以上范围内开展业务，具备中国大陆境内总结算资格的企业。区域性总部为在全省范围内开展业务，具备湖南境内总结算资格的企业。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金融机构：指取得由金融监管机构颁发的金融机构牌照的机构，如银行、保险公司、证券公司等。金融机构全国性总部指在全国以上范围内开展业务，具备中国大陆境内总结算资格的企业。金融机构区域性总部是指在华中、华南、全省、全市等区域范围内开展业务，具备区域境内总结算资格的企业，如华中分公司、华南分公司、湖南分公司、长沙分公司、一级支行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〔3〕其他金融机构：指金融中介机构、金融配套服务机构、金融后援中心、金融结算中心、资金运营中心、金融科技类机构等机构。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〔4〕金融中介机构：指在金融市场上，在金融业务开展供求之间起媒介或桥梁作用的机构，如保险经纪公司、保险销售公司等。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〔5〕金融配套服务机构：指为金融机构提供服务的机构，如会计师事务所、律师事务所、征信评级公司等。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〔6〕金融后援中心：指与金融机构直接经营活动相对分离，为前台业务提供支撑和服务的功能模块和业务部门，如数据中心、结算中心、研发中心等。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〔7〕资金运营中心：指金融机构经相关监管部门批准成立的资金业务专营机构。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〔8〕金融科技类机构：指通过利用各类科技手段创新传统金融行业提供产品和服务的金融科技类公司。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〔9〕招商中介人：指项目签约前在区商务局进行了备案登记，经被引进企业确认，最终促成项目落户我区的直接引进人。自然人和企业机构都纳入招商中介人，公职人员不参与中介奖励。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〔10〕</w:t>
      </w:r>
      <w:r>
        <w:rPr>
          <w:rFonts w:ascii="Times New Roman" w:hAnsi="Times New Roman" w:eastAsia="仿宋_GB2312" w:cs="Times New Roman"/>
          <w:spacing w:val="0"/>
          <w:sz w:val="28"/>
          <w:szCs w:val="28"/>
        </w:rPr>
        <w:t>四上企业</w:t>
      </w:r>
      <w:r>
        <w:rPr>
          <w:rFonts w:hint="eastAsia" w:ascii="Times New Roman" w:hAnsi="Times New Roman" w:eastAsia="仿宋_GB2312" w:cs="Times New Roman"/>
          <w:spacing w:val="0"/>
          <w:sz w:val="28"/>
          <w:szCs w:val="28"/>
        </w:rPr>
        <w:t>：是现阶段我国经济统计系统专业称谓，包括规模以上工业企业、限额以上批发零售和住宿餐饮企业、资质等级建筑业企业、规模以上服务业企业。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〔11〕商务楼宇：指建筑面积在5000㎡（含）以上，土地性质为商业用地，主要用途为企业办公的楼宇。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〔12〕主板：指中国主要的证券交易所，即上海证券交易所和深圳证券交易所。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〔13〕中小板：又称创业板市场或二板市场，指</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"http://baike.baidu.com/view/68971.htm" \t "_blank"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深圳证券交易所</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为了鼓励自主创新，而专门设置的中小型公司聚集板块。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〔14〕新三板：特指</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"http://baike.baidu.com/view/5090.htm" \t "_blank"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中关村</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科技园区非</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"http://baike.baidu.com/view/160778.htm" \t "_blank"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上市</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股份</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"http://baike.baidu.com/view/34516.htm" \t "_blank"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有限公司</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进入代办股份系统进行转让试点。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〔15〕科创板：指上交所专属的板块，主要服务于符合国家战略、突破关键核心技术、市场认可度高的科技创新企业，股票代码以688开头。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〔16〕境外主板：主要指纽约证券交易所、美国证券商会自动报价系统（NASDAQ）中的精选市场（GS Market）和全球市场（Global Market）、香港联交所。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color w:val="FF0000"/>
          <w:spacing w:val="0"/>
          <w:sz w:val="28"/>
          <w:szCs w:val="28"/>
        </w:rPr>
      </w:pPr>
      <w:r>
        <w:rPr>
          <w:rFonts w:hint="eastAsia" w:ascii="Times New Roman" w:hAnsi="Times New Roman" w:eastAsia="仿宋_GB2312" w:cs="Times New Roman"/>
          <w:spacing w:val="0"/>
          <w:sz w:val="28"/>
          <w:szCs w:val="28"/>
        </w:rPr>
        <w:t>〔17〕湖南股交所标准板：指湖南股权交易所有限责任公司最高挂牌交易板块。标准板的挂牌公司应当为业务明确、信息披露质量较高的股份有限公司，传统行业年营收达1000万，报告期内不能有亏损，新型行业无营收要求，满足《湖南股权交易所标准办（E1板）业务管理规则》条件，达到一定的经营期限及实缴资本不低于注册资本的60%等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〔18〕品牌商场：指上规模、有影响、效益好、形象佳的零售商业企业，主要包括全国性连锁商场、大型超市和百货大楼。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〔19〕品牌餐饮：是由中国烹饪协会公布的年度中国餐饮百强企业。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〔20〕“五大行”：指世界范围内规模比较大的五家从事物业管理或设备设施服务的提供商，即第一太平戴维斯、高力国际、仲量联行、戴德梁行、世邦威理仕。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〔21〕</w:t>
      </w:r>
      <w:r>
        <w:rPr>
          <w:rFonts w:ascii="Times New Roman" w:hAnsi="Times New Roman" w:eastAsia="仿宋_GB2312" w:cs="Times New Roman"/>
          <w:spacing w:val="0"/>
          <w:sz w:val="28"/>
          <w:szCs w:val="28"/>
        </w:rPr>
        <w:t>高新技术企业</w:t>
      </w:r>
      <w:r>
        <w:rPr>
          <w:rFonts w:hint="eastAsia" w:ascii="Times New Roman" w:hAnsi="Times New Roman" w:eastAsia="仿宋_GB2312" w:cs="Times New Roman"/>
          <w:spacing w:val="0"/>
          <w:sz w:val="28"/>
          <w:szCs w:val="28"/>
        </w:rPr>
        <w:t>：指在《</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"https://baike.baidu.com/item/%E5%9B%BD%E5%AE%B6/17205" \t "https://baike.baidu.com/item/%E9%AB%98%E6%96%B0%E6%8A%80%E6%9C%AF%E4%BC%81%E4%B8%9A/_blank"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国家</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"https://baike.baidu.com/item/%E9%87%8D%E7%82%B9/4660315" \t "https://baike.baidu.com/item/%E9%AB%98%E6%96%B0%E6%8A%80%E6%9C%AF%E4%BC%81%E4%B8%9A/_blank"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重点</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支持的</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"https://baike.baidu.com/item/%E9%AB%98%E6%96%B0%E6%8A%80%E6%9C%AF" \t "https://baike.baidu.com/item/%E9%AB%98%E6%96%B0%E6%8A%80%E6%9C%AF%E4%BC%81%E4%B8%9A/_blank"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高新技术</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领域》内，</w:t>
      </w:r>
      <w:r>
        <w:rPr>
          <w:rFonts w:hint="eastAsia" w:ascii="Times New Roman" w:hAnsi="Times New Roman" w:eastAsia="仿宋_GB2312" w:cs="Times New Roman"/>
          <w:spacing w:val="0"/>
          <w:sz w:val="28"/>
          <w:szCs w:val="28"/>
        </w:rPr>
        <w:fldChar w:fldCharType="begin"/>
      </w:r>
      <w:r>
        <w:rPr>
          <w:rFonts w:hint="eastAsia" w:ascii="Times New Roman" w:hAnsi="Times New Roman" w:eastAsia="仿宋_GB2312" w:cs="Times New Roman"/>
          <w:spacing w:val="0"/>
          <w:sz w:val="28"/>
          <w:szCs w:val="28"/>
        </w:rPr>
        <w:instrText xml:space="preserve"> HYPERLINK "https://baike.baidu.com/item/%E6%8C%81%E7%BB%AD" \t "https://baike.baidu.com/item/%E9%AB%98%E6%96%B0%E6%8A%80%E6%9C%AF%E4%BC%81%E4%B8%9A/_blank" </w:instrText>
      </w:r>
      <w:r>
        <w:rPr>
          <w:rFonts w:hint="eastAsia" w:ascii="Times New Roman" w:hAnsi="Times New Roman" w:eastAsia="仿宋_GB2312" w:cs="Times New Roman"/>
          <w:spacing w:val="0"/>
          <w:sz w:val="28"/>
          <w:szCs w:val="28"/>
        </w:rPr>
        <w:fldChar w:fldCharType="separate"/>
      </w:r>
      <w:r>
        <w:rPr>
          <w:rFonts w:hint="eastAsia" w:ascii="Times New Roman" w:hAnsi="Times New Roman" w:eastAsia="仿宋_GB2312" w:cs="Times New Roman"/>
          <w:spacing w:val="0"/>
          <w:sz w:val="28"/>
          <w:szCs w:val="28"/>
        </w:rPr>
        <w:t>持续</w:t>
      </w:r>
      <w:r>
        <w:rPr>
          <w:rFonts w:hint="eastAsia" w:ascii="Times New Roman" w:hAnsi="Times New Roman" w:eastAsia="仿宋_GB2312" w:cs="Times New Roman"/>
          <w:spacing w:val="0"/>
          <w:sz w:val="28"/>
          <w:szCs w:val="28"/>
        </w:rPr>
        <w:fldChar w:fldCharType="end"/>
      </w:r>
      <w:r>
        <w:rPr>
          <w:rFonts w:hint="eastAsia" w:ascii="Times New Roman" w:hAnsi="Times New Roman" w:eastAsia="仿宋_GB2312" w:cs="Times New Roman"/>
          <w:spacing w:val="0"/>
          <w:sz w:val="28"/>
          <w:szCs w:val="28"/>
        </w:rPr>
        <w:t>进行研究开发与技术成果转化，形成企业核心自主知识产权，并以此为基础开展经营活动，在中国境内（不包括港、澳、台地区）注册一年以上的居民企业。它是知识密集、技术密集的经济实体。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〔22〕中国文化艺术政府奖：是全国性文艺奖项，</w:t>
      </w:r>
      <w:r>
        <w:rPr>
          <w:rFonts w:hint="eastAsia" w:ascii="Times New Roman" w:hAnsi="Times New Roman" w:eastAsia="仿宋_GB2312" w:cs="Times New Roman"/>
          <w:spacing w:val="6"/>
          <w:sz w:val="28"/>
          <w:szCs w:val="28"/>
        </w:rPr>
        <w:t>包括“文华奖”“群星奖”“动漫奖”，3年评选一次。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23〕五个一工程奖：指中共中央宣传部组织的精神文明建设“五个一工程”评选活动，分别为一部好的戏剧作品，一部好的电视剧作品，一部好的电影作品，一部好的图书，一部好的理论文章，一首好歌和一部好的广播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24〕地理标志商标：指标示某商品来源于某地区，并且该商品的特定质量、信誉或其他特征主要由该地区的自然因素或人文因素所决定的标志。申请地理标志证明商标是目前国际上保护特色产品的一种通行做法。通过申请地理标志证明商标，可以合理、充分地利用与保存自然资源、人文资源和地理遗产，有效地保护优质特色产品和促进特色行业的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〔25〕中华老字号：指历史悠久，拥有世代传承的产品、技艺或服务，具有鲜明的中华民族传统文化背景和深厚的文化底蕴，取得社会广泛认同，形成良好信誉的品牌。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26〕品牌首店：指在行业里有代表性的品牌或新的潮牌在某一区域开的第一家店，如全球首店、亚洲首店、中国（内地）首店、区域首店；又或指传统老店通过创新经营业态和模式形成的新店，如新物种店、概念店、体验店、定制店、旗舰店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27〕中国质量奖：是中国质量领域的最高荣誉，设中国质量奖和中国质量奖提名奖，每两年评选一次，旨在表彰在质量管理模式、管理方法和管理制度领域取得重大创新成就的组织和为推进质量管理理论、方法和措施作出突出贡献的个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〔28〕湖南省省长质量奖：是湖南省政府设立的最高质量荣誉奖，设“组织”和“个人”两类奖项。</w:t>
      </w:r>
      <w:r>
        <w:rPr>
          <w:rFonts w:ascii="Times New Roman" w:hAnsi="Times New Roman" w:eastAsia="仿宋_GB2312" w:cs="Times New Roman"/>
          <w:spacing w:val="0"/>
          <w:sz w:val="28"/>
          <w:szCs w:val="28"/>
        </w:rPr>
        <w:t>组织奖</w:t>
      </w:r>
      <w:r>
        <w:rPr>
          <w:rFonts w:hint="eastAsia" w:ascii="Times New Roman" w:hAnsi="Times New Roman" w:eastAsia="仿宋_GB2312" w:cs="Times New Roman"/>
          <w:spacing w:val="0"/>
          <w:sz w:val="28"/>
          <w:szCs w:val="28"/>
        </w:rPr>
        <w:t>为</w:t>
      </w:r>
      <w:r>
        <w:rPr>
          <w:rFonts w:ascii="Times New Roman" w:hAnsi="Times New Roman" w:eastAsia="仿宋_GB2312" w:cs="Times New Roman"/>
          <w:spacing w:val="0"/>
          <w:sz w:val="28"/>
          <w:szCs w:val="28"/>
        </w:rPr>
        <w:t>主要授予在</w:t>
      </w:r>
      <w:r>
        <w:rPr>
          <w:rFonts w:ascii="Times New Roman" w:hAnsi="Times New Roman" w:eastAsia="仿宋_GB2312" w:cs="Times New Roman"/>
          <w:spacing w:val="0"/>
          <w:sz w:val="28"/>
          <w:szCs w:val="28"/>
        </w:rPr>
        <w:fldChar w:fldCharType="begin"/>
      </w:r>
      <w:r>
        <w:rPr>
          <w:rFonts w:ascii="Times New Roman" w:hAnsi="Times New Roman" w:eastAsia="仿宋_GB2312" w:cs="Times New Roman"/>
          <w:spacing w:val="0"/>
          <w:sz w:val="28"/>
          <w:szCs w:val="28"/>
        </w:rPr>
        <w:instrText xml:space="preserve"> HYPERLINK "https://baike.baidu.com/item/%E6%B9%96%E5%8D%97%E7%9C%81" \t "https://baike.baidu.com/item/%E6%B9%96%E5%8D%97%E7%9C%81%E7%9C%81%E9%95%BF%E8%B4%A8%E9%87%8F%E5%A5%96/_blank" </w:instrText>
      </w:r>
      <w:r>
        <w:rPr>
          <w:rFonts w:ascii="Times New Roman" w:hAnsi="Times New Roman" w:eastAsia="仿宋_GB2312" w:cs="Times New Roman"/>
          <w:spacing w:val="0"/>
          <w:sz w:val="28"/>
          <w:szCs w:val="28"/>
        </w:rPr>
        <w:fldChar w:fldCharType="separate"/>
      </w:r>
      <w:r>
        <w:rPr>
          <w:rFonts w:ascii="Times New Roman" w:hAnsi="Times New Roman" w:eastAsia="仿宋_GB2312" w:cs="Times New Roman"/>
          <w:spacing w:val="0"/>
          <w:sz w:val="28"/>
          <w:szCs w:val="28"/>
        </w:rPr>
        <w:t>湖南省</w:t>
      </w:r>
      <w:r>
        <w:rPr>
          <w:rFonts w:ascii="Times New Roman" w:hAnsi="Times New Roman" w:eastAsia="仿宋_GB2312" w:cs="Times New Roman"/>
          <w:spacing w:val="0"/>
          <w:sz w:val="28"/>
          <w:szCs w:val="28"/>
        </w:rPr>
        <w:fldChar w:fldCharType="end"/>
      </w:r>
      <w:r>
        <w:rPr>
          <w:rFonts w:ascii="Times New Roman" w:hAnsi="Times New Roman" w:eastAsia="仿宋_GB2312" w:cs="Times New Roman"/>
          <w:spacing w:val="0"/>
          <w:sz w:val="28"/>
          <w:szCs w:val="28"/>
        </w:rPr>
        <w:t>内实施卓越绩效管理模式、质量管理水平和自主创新能力在国内同行业处于领先地位、取得显著经济效益和社会效益的单位。获奖组织原则上每年不超过5个。个人奖</w:t>
      </w:r>
      <w:r>
        <w:rPr>
          <w:rFonts w:hint="eastAsia" w:ascii="Times New Roman" w:hAnsi="Times New Roman" w:eastAsia="仿宋_GB2312" w:cs="Times New Roman"/>
          <w:spacing w:val="0"/>
          <w:sz w:val="28"/>
          <w:szCs w:val="28"/>
        </w:rPr>
        <w:t>为</w:t>
      </w:r>
      <w:r>
        <w:rPr>
          <w:rFonts w:ascii="Times New Roman" w:hAnsi="Times New Roman" w:eastAsia="仿宋_GB2312" w:cs="Times New Roman"/>
          <w:spacing w:val="0"/>
          <w:sz w:val="28"/>
          <w:szCs w:val="28"/>
        </w:rPr>
        <w:t>主要用以表彰为湖南省质量振兴作出突出贡献的个人。获奖个人每年最多不超过3人。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〔29〕</w:t>
      </w:r>
      <w:r>
        <w:rPr>
          <w:rFonts w:ascii="Times New Roman" w:hAnsi="Times New Roman" w:eastAsia="仿宋_GB2312" w:cs="Times New Roman"/>
          <w:spacing w:val="0"/>
          <w:sz w:val="28"/>
          <w:szCs w:val="28"/>
        </w:rPr>
        <w:t>中国建设工程鲁班奖</w:t>
      </w:r>
      <w:r>
        <w:rPr>
          <w:rFonts w:hint="eastAsia" w:ascii="Times New Roman" w:hAnsi="Times New Roman" w:eastAsia="仿宋_GB2312" w:cs="Times New Roman"/>
          <w:spacing w:val="0"/>
          <w:sz w:val="28"/>
          <w:szCs w:val="28"/>
        </w:rPr>
        <w:t>：是中国建筑行业工程质量的最高奖项，每年评审一次，两年颁奖一次。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〔30〕国防科研资质证：指获得武器装备科研生产保密资格认证、武器装备科研生产许可证、装备承制单位资格认证、军用软件资质GJB5000认证。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〔31〕数字视频技术：指5G通讯、超高清、大数据、云计算、VR（虚拟现实）/AR（增强现实）、4K/8K、区块链、人工智能等未来推动视频文创产业迭代升级的核心技术应用。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32〕医药物流企业：指依托一定的物流设备、技术和物流管理信息系统，有效整合营销渠道上下游资源，通过优化药品供销配运环节中的验收、存储、分拣、配送等作业过程，提高订单处理能力，降低货物分拣差错，缩短库存及配送时间，减少物流成本，提高服务水平和资金使用效益，实现的自动化、信息化和效益化的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〔33〕医疗器械类企业：指研发、生产、销售直接或者间接用于人体的仪器、设备、器具、体外诊断试剂及校准物、材料以及其他类似或者相关的物品，包括所需要的计算机软件等产品的企业。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〔34〕孵化器：指设立一个集中的空间，能够在企业创办初期举步维艰时，提供资金、管理等多种便利，旨在对高新技术成果、科技型企业和创业企业进行孵化，以推动合作和交流，使企业“做大”的平台体系。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〔35〕加速器：指快速帮助早期创业公司提升影响力、为融资加分的专业企业加速孵化基地。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36〕创客空间：指创新型孵化器。是顺应创新2.0时代用户创新、开放创新、协同创新、大众创新趋势，把握全球创客浪潮兴起的机遇，根据互联网及其应用深入发展、知识社会创新2.0环境下的创新创业特点和需求，通过市场化机制、专业化服务和资本化途径构建的低成本、便利化、全要素、开放式的新型创业公共服务平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〔37〕生产制造工业地产：指在工业类土地使用性质的所有毛地、熟地，以及该类土地上的建筑物和附属物上开发建设工业制造厂房的产业。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方正小标宋简体"/>
          <w:spacing w:val="0"/>
          <w:sz w:val="28"/>
          <w:szCs w:val="28"/>
          <w:lang w:eastAsia="zh-CN"/>
        </w:rPr>
        <w:sectPr>
          <w:footerReference r:id="rId3" w:type="default"/>
          <w:pgSz w:w="8390" w:h="11905"/>
          <w:pgMar w:top="1247" w:right="1020" w:bottom="1134" w:left="1020" w:header="851" w:footer="850" w:gutter="0"/>
          <w:pgNumType w:fmt="decimal" w:start="1"/>
          <w:cols w:space="0" w:num="1"/>
          <w:rtlGutter w:val="0"/>
          <w:docGrid w:type="lines" w:linePitch="321"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sz w:val="44"/>
          <w:szCs w:val="44"/>
          <w:lang w:eastAsia="zh-CN"/>
        </w:rPr>
      </w:pPr>
    </w:p>
    <w:p>
      <w:pPr>
        <w:spacing w:line="580" w:lineRule="exact"/>
        <w:jc w:val="center"/>
        <w:rPr>
          <w:rFonts w:hint="eastAsia" w:ascii="Times New Roman" w:hAnsi="Times New Roman" w:eastAsia="方正小标宋简体"/>
          <w:sz w:val="40"/>
          <w:szCs w:val="40"/>
          <w:lang w:eastAsia="zh-CN"/>
        </w:rPr>
      </w:pPr>
      <w:r>
        <w:rPr>
          <w:rFonts w:hint="eastAsia" w:ascii="Times New Roman" w:hAnsi="Times New Roman" w:eastAsia="方正小标宋简体"/>
          <w:sz w:val="40"/>
          <w:szCs w:val="40"/>
          <w:lang w:eastAsia="zh-CN"/>
        </w:rPr>
        <w:t>关于加快推进开福区软件和信息</w:t>
      </w:r>
    </w:p>
    <w:p>
      <w:pPr>
        <w:spacing w:line="58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0"/>
          <w:szCs w:val="40"/>
          <w:lang w:eastAsia="zh-CN"/>
        </w:rPr>
        <w:t>技术服务业高质量发展的若干措施</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rPr>
          <w:rFonts w:hint="default" w:ascii="Times New Roman" w:hAnsi="Times New Roman" w:eastAsia="楷体_GB2312" w:cs="Times New Roman"/>
          <w:b/>
          <w:bCs/>
          <w:spacing w:val="0"/>
          <w:sz w:val="28"/>
          <w:szCs w:val="28"/>
          <w:lang w:eastAsia="zh-CN"/>
        </w:rPr>
      </w:pPr>
      <w:r>
        <w:rPr>
          <w:rFonts w:hint="default" w:ascii="Times New Roman" w:hAnsi="Times New Roman" w:eastAsia="楷体_GB2312" w:cs="Times New Roman"/>
          <w:b/>
          <w:bCs/>
          <w:spacing w:val="0"/>
          <w:sz w:val="28"/>
          <w:szCs w:val="28"/>
          <w:lang w:eastAsia="zh-CN"/>
        </w:rPr>
        <w:t>（开政办发〔</w:t>
      </w:r>
      <w:r>
        <w:rPr>
          <w:rFonts w:hint="default" w:ascii="Times New Roman" w:hAnsi="Times New Roman" w:eastAsia="楷体_GB2312" w:cs="Times New Roman"/>
          <w:b/>
          <w:bCs/>
          <w:spacing w:val="0"/>
          <w:sz w:val="28"/>
          <w:szCs w:val="28"/>
          <w:lang w:val="en-US" w:eastAsia="zh-CN"/>
        </w:rPr>
        <w:t>2021</w:t>
      </w:r>
      <w:r>
        <w:rPr>
          <w:rFonts w:hint="default" w:ascii="Times New Roman" w:hAnsi="Times New Roman" w:eastAsia="楷体_GB2312" w:cs="Times New Roman"/>
          <w:b/>
          <w:bCs/>
          <w:spacing w:val="0"/>
          <w:sz w:val="28"/>
          <w:szCs w:val="28"/>
          <w:lang w:eastAsia="zh-CN"/>
        </w:rPr>
        <w:t>〕</w:t>
      </w:r>
      <w:r>
        <w:rPr>
          <w:rFonts w:hint="default" w:ascii="Times New Roman" w:hAnsi="Times New Roman" w:eastAsia="楷体_GB2312" w:cs="Times New Roman"/>
          <w:b/>
          <w:bCs/>
          <w:spacing w:val="0"/>
          <w:sz w:val="28"/>
          <w:szCs w:val="28"/>
          <w:lang w:val="en-US" w:eastAsia="zh-CN"/>
        </w:rPr>
        <w:t>1号，2021年1月22日印发</w:t>
      </w:r>
      <w:r>
        <w:rPr>
          <w:rFonts w:hint="default" w:ascii="Times New Roman" w:hAnsi="Times New Roman" w:eastAsia="楷体_GB2312" w:cs="Times New Roman"/>
          <w:b/>
          <w:bCs/>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为进一步促进开福区软件和信息技术服务业做大做强，加快推进以软件产业为基础的数字经济高质量发展，结合区情实际，制定本措施。</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第一条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扶持产业发展壮大。（1）对新入驻企业自购办公用房的，按照不超过400元/平方米的标准给予购房补贴，单个企业补贴总额最高不超过200万元。（2）对新入驻企业租赁办公用房的，按照不超过30元/平方米/月，且人均面积不超过10平方米的标准，给予连续三年租金补贴，单个企业补贴总额不超过150万元。（3）对软件专业技术人员达到50人的新入驻企业（机构），按照不超过300元/平方米的标准给予装修补贴，单个企业（机构）补贴总额最高不超过60万元。（4）自企业入驻之日起，按照不超过2元/平方米/月的标准，给予新入驻企业连续三年物业管理费用补贴。（牵头单位：金霞经济开发区、马栏山视频文创产业园、区现代服务业发展中心；责任单位：区工业和信息化局、区财政局、区人力资源社会保障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第二条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提升自主创新能力。对首次通过CMMI（能力成熟度模型）三级、五级评估认证以及ISO27001（信息安全管理体系）、ITSS（信息技术服务标准）认证的企业，按实际认证费用的25%给予补贴，单个企业补贴总额最高不超过10万元。对当年在税务部门办理了研发费用加计扣除，且研发费用额度超过500万元的企业，按其年度研发费用新增部分的10%给予补贴，单个企业年度补贴金额最高不超过20万元。（牵头单位：区科技局、区工业和信息化局；责任单位：金霞经济开发区、马栏山视频文创产业园、区财政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第三条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加大人才支持力度。对软件和信息技术服务业领域中，入选全市高精尖人才领跑工程的国际顶尖人才、国家级和省市级产业领军人才以及经长沙市认定的各类别高层次人才，在市级奖补的基础上，参照开福区“人才新政”相关条款，给予区级配套奖补，并享受对等级别人才服务。对地方经济贡献达到100万元且同比增长10%的企业，给予企业核心管理人员和技术团队个人经济奖励，单个企业奖励总人数不超过10人。（牵头单位：区委组织部；责任单位：</w:t>
      </w:r>
      <w:r>
        <w:rPr>
          <w:rFonts w:hint="eastAsia" w:ascii="Times New Roman" w:hAnsi="Times New Roman" w:eastAsia="仿宋_GB2312" w:cs="仿宋_GB2312"/>
          <w:color w:val="000000" w:themeColor="text1"/>
          <w:spacing w:val="6"/>
          <w:sz w:val="28"/>
          <w:szCs w:val="28"/>
          <w14:textFill>
            <w14:solidFill>
              <w14:schemeClr w14:val="tx1"/>
            </w14:solidFill>
          </w14:textFill>
        </w:rPr>
        <w:t>区工业和信息化局、区财政局、区人力资源社会保障局）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第四条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强化金融扶持保障。区级财政深化与金融机构合作，每年设立产业发展专项资金，在确保公平竞争的前提下，为软件和信息技术服务业企业（机构）提供金融支持，解决企业融资难、融资贵的实际问题。对获得项目合同及业务定单抵押贷款、知识产权及企业股权质押贷款等科技金融创新产品贷款的企业，按照贷款利息50%的标准给予补贴，单个企业补贴总额不超过50万元。（牵头单位：区财政局、区金融事务中心；责任单位：区工业和信息化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第五条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鼓励产学研成果转化。发挥国防科大和相关科研教学机构驻区优势，鼓励软件业企业（机构）、高校、科研院所之间的技术创新。对将科技成果、专利等在开福区实现产业化，经市级以上科技部门认定的技术交易合同登记额达50万元以上的企业，按照技术交易合同实际执行额的3%给予补助，单个企业补助金额最高不超过30万元。（牵头单位：区科技局；责任单位：金霞经济开发区、马栏山视频文创产业园、区财政局、区工业和信息化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第六条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打造示范应用场景。积极打造应用场景，帮助企业拓展市场，支持区内单位依法依规依程序采购运用软件和信息技术服务产品。（牵头单位：区工业和信息化局；责任单位：金霞经济开发区、马栏山视频文创产业园、区财政局、区商务局、区金融事务中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第七条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支持企业做大做强。对主营业务收入首次突破2000万元、5000万元的企业分别给予10万元、20万元奖励；对首次突破1亿元、10亿元、50亿元及以上的企业，分别给予50万元、100万元、200万元奖励，奖励金额最高不超过企业地方经济贡献。（牵头单位：区统计局；责任单位：金霞经济开发区、马栏山视频文创产业园、区工业和信息化局、区财政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第八条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加快集聚平台打造。（1）加快“两园两楼”建设，着力打造“软件名园”，区政府视其集聚企业数量、办公用房使用面积、产值增长幅度、亩均经济贡献及吸纳就业人数等给予“一事一议”支持。（2）加快楼宇转型升级，对软件企业入驻率达到70%以上、实际使用办公总面积达到1万平方米以上，且入驻企业总体主营业务收入为正增长的楼宇，按照20万元/年的标准给予与区政府签约的楼宇招商服务主体奖励。（牵头单位：金霞经济开发区、马栏山视频文创产业园、区现代服务业发展中心；责任单位：区发展改革局、区工业和信息化局、区商务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第九条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突出龙头企业培引。对“中国软件和信息技术服务综合竞争力百强企业”“中国软件业务收入前百家企业”“中国互联网企业100强”、软件领域国内单项前十强等软件和信息技术服务业龙头企业、重大项目的培育和引进，经区政府批准，按照“一事一议”政策给予支持。</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楷体_GB2312" w:cs="楷体_GB2312"/>
          <w:b/>
          <w:bCs w:val="0"/>
          <w:sz w:val="28"/>
          <w:szCs w:val="28"/>
        </w:rPr>
        <w:t>第十条</w:t>
      </w:r>
      <w:r>
        <w:rPr>
          <w:rFonts w:hint="eastAsia" w:ascii="Times New Roman" w:hAnsi="Times New Roman" w:eastAsia="仿宋_GB2312" w:cs="仿宋_GB2312"/>
          <w:color w:val="000000" w:themeColor="text1"/>
          <w:sz w:val="28"/>
          <w:szCs w:val="28"/>
          <w:lang w:eastAsia="zh-CN"/>
          <w14:textFill>
            <w14:solidFill>
              <w14:schemeClr w14:val="tx1"/>
            </w14:solidFill>
          </w14:textFill>
        </w:rPr>
        <w:t>　</w:t>
      </w:r>
      <w:r>
        <w:rPr>
          <w:rFonts w:hint="eastAsia" w:ascii="Times New Roman" w:hAnsi="Times New Roman" w:eastAsia="仿宋_GB2312" w:cs="仿宋_GB2312"/>
          <w:color w:val="000000" w:themeColor="text1"/>
          <w:sz w:val="28"/>
          <w:szCs w:val="28"/>
          <w14:textFill>
            <w14:solidFill>
              <w14:schemeClr w14:val="tx1"/>
            </w14:solidFill>
          </w14:textFill>
        </w:rPr>
        <w:t>有关事项说明。（1）同一企业、同一项目符合区级（含金霞经济开发区、马栏山视频文创产业园）多个奖励政策的，按照“就高从优不重复”的原则办理。同一企业、同一项目同时符合上级相关奖励政策的，可叠加享受，但如涉及区级配套问题，原则上需核减区级配套部分。（2）奖励资金纳入区财政预算，已享受“一事一议”政策的企业（含金霞经济开发区、马栏山视频文创产业园）不适用本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本文件自2021年3月1日起施行，有效期至2022</w:t>
      </w:r>
      <w:r>
        <w:rPr>
          <w:rFonts w:hint="eastAsia" w:ascii="Times New Roman" w:hAnsi="Times New Roman" w:eastAsia="仿宋_GB2312" w:cs="仿宋_GB2312"/>
          <w:color w:val="000000" w:themeColor="text1"/>
          <w:spacing w:val="-6"/>
          <w:sz w:val="28"/>
          <w:szCs w:val="28"/>
          <w14:textFill>
            <w14:solidFill>
              <w14:schemeClr w14:val="tx1"/>
            </w14:solidFill>
          </w14:textFill>
        </w:rPr>
        <w:t>年12月31日，由区工业和信息化局负责解释相关工作。</w:t>
      </w:r>
    </w:p>
    <w:p>
      <w:pPr>
        <w:rPr>
          <w:rFonts w:hint="eastAsia" w:ascii="Times New Roman" w:hAnsi="Times New Roman" w:eastAsia="楷体_GB2312" w:cs="楷体_GB2312"/>
          <w:sz w:val="32"/>
          <w:szCs w:val="32"/>
        </w:rPr>
      </w:pPr>
    </w:p>
    <w:sectPr>
      <w:pgSz w:w="8390" w:h="11905"/>
      <w:pgMar w:top="1247" w:right="1020" w:bottom="1134" w:left="1020"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944FC"/>
    <w:multiLevelType w:val="singleLevel"/>
    <w:tmpl w:val="850944FC"/>
    <w:lvl w:ilvl="0" w:tentative="0">
      <w:start w:val="1"/>
      <w:numFmt w:val="decimal"/>
      <w:lvlText w:val="%1."/>
      <w:lvlJc w:val="left"/>
      <w:pPr>
        <w:tabs>
          <w:tab w:val="left" w:pos="397"/>
        </w:tabs>
        <w:ind w:left="397" w:leftChars="0" w:hanging="397"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B3166"/>
    <w:rsid w:val="016814CB"/>
    <w:rsid w:val="01CA3938"/>
    <w:rsid w:val="03170002"/>
    <w:rsid w:val="033716DA"/>
    <w:rsid w:val="05582FBE"/>
    <w:rsid w:val="0735610E"/>
    <w:rsid w:val="0B121015"/>
    <w:rsid w:val="0CF122A8"/>
    <w:rsid w:val="0E0D6612"/>
    <w:rsid w:val="0E1E0660"/>
    <w:rsid w:val="118D5428"/>
    <w:rsid w:val="133B3166"/>
    <w:rsid w:val="16341D6E"/>
    <w:rsid w:val="167E2E82"/>
    <w:rsid w:val="17D36C42"/>
    <w:rsid w:val="1EB211CA"/>
    <w:rsid w:val="227668B0"/>
    <w:rsid w:val="22B6295F"/>
    <w:rsid w:val="237248BC"/>
    <w:rsid w:val="25F67FE2"/>
    <w:rsid w:val="26652925"/>
    <w:rsid w:val="29D75BD7"/>
    <w:rsid w:val="2A754990"/>
    <w:rsid w:val="2C3B4BF8"/>
    <w:rsid w:val="2EFF2B54"/>
    <w:rsid w:val="2F8418BF"/>
    <w:rsid w:val="2FCF7D88"/>
    <w:rsid w:val="317E7B00"/>
    <w:rsid w:val="32B77D18"/>
    <w:rsid w:val="32F30EEF"/>
    <w:rsid w:val="33253F24"/>
    <w:rsid w:val="332E5E66"/>
    <w:rsid w:val="341A5366"/>
    <w:rsid w:val="39A46F18"/>
    <w:rsid w:val="3A375A11"/>
    <w:rsid w:val="3CD47D5C"/>
    <w:rsid w:val="45306082"/>
    <w:rsid w:val="45D25B3F"/>
    <w:rsid w:val="49F9547A"/>
    <w:rsid w:val="4A5E2961"/>
    <w:rsid w:val="4B0E2F38"/>
    <w:rsid w:val="4C693A40"/>
    <w:rsid w:val="4CB12B26"/>
    <w:rsid w:val="4D3E72A5"/>
    <w:rsid w:val="4D7A7C19"/>
    <w:rsid w:val="4E346016"/>
    <w:rsid w:val="50003372"/>
    <w:rsid w:val="54E32B67"/>
    <w:rsid w:val="57450634"/>
    <w:rsid w:val="57BC4C32"/>
    <w:rsid w:val="598A7B94"/>
    <w:rsid w:val="59D27D59"/>
    <w:rsid w:val="5E111648"/>
    <w:rsid w:val="62917065"/>
    <w:rsid w:val="64455010"/>
    <w:rsid w:val="66CD0935"/>
    <w:rsid w:val="687C7B94"/>
    <w:rsid w:val="68FA3BF1"/>
    <w:rsid w:val="6970287D"/>
    <w:rsid w:val="69CD7D72"/>
    <w:rsid w:val="6C83037A"/>
    <w:rsid w:val="6D6B2C56"/>
    <w:rsid w:val="6E9C3772"/>
    <w:rsid w:val="72137DEE"/>
    <w:rsid w:val="75A42916"/>
    <w:rsid w:val="76B30D84"/>
    <w:rsid w:val="7923439E"/>
    <w:rsid w:val="7967057B"/>
    <w:rsid w:val="7BA2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2021-10-15T05:41:00Z</dcterms:created>
  <dc:creator>绿藻头</dc:creator>
  <cp:lastModifiedBy>绿藻头</cp:lastModifiedBy>
  <dcterms:modified xsi:type="dcterms:W3CDTF">2021-10-28T08:49:02Z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CBCE2B80262E45619F9FF4DF53D9067F</vt:lpwstr>
  </property>
</Properties>
</file>