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ascii="仿宋" w:hAnsi="仿宋" w:eastAsia="仿宋"/>
          <w:color w:val="auto"/>
          <w:highlight w:val="none"/>
        </w:rPr>
      </w:pPr>
    </w:p>
    <w:p>
      <w:pPr>
        <w:ind w:firstLine="640"/>
        <w:rPr>
          <w:rFonts w:ascii="仿宋" w:hAnsi="仿宋" w:eastAsia="仿宋"/>
          <w:color w:val="auto"/>
          <w:highlight w:val="none"/>
        </w:rPr>
      </w:pPr>
    </w:p>
    <w:p>
      <w:pPr>
        <w:ind w:firstLine="640"/>
        <w:rPr>
          <w:rFonts w:ascii="仿宋" w:hAnsi="仿宋" w:eastAsia="仿宋"/>
          <w:color w:val="auto"/>
          <w:highlight w:val="none"/>
        </w:rPr>
      </w:pPr>
    </w:p>
    <w:p>
      <w:pPr>
        <w:pStyle w:val="4"/>
        <w:spacing w:line="360" w:lineRule="auto"/>
        <w:jc w:val="center"/>
        <w:outlineLvl w:val="9"/>
        <w:rPr>
          <w:rFonts w:ascii="仿宋" w:hAnsi="仿宋" w:eastAsia="仿宋"/>
          <w:b/>
          <w:bCs/>
          <w:color w:val="auto"/>
          <w:sz w:val="52"/>
          <w:szCs w:val="5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方正小标宋简体" w:hAnsi="方正小标宋简体" w:eastAsia="方正小标宋简体" w:cs="方正小标宋简体"/>
          <w:color w:val="auto"/>
          <w:sz w:val="56"/>
          <w:szCs w:val="56"/>
          <w:highlight w:val="none"/>
        </w:rPr>
      </w:pPr>
      <w:bookmarkStart w:id="0" w:name="_Toc23022"/>
      <w:bookmarkStart w:id="1" w:name="_Toc949736470"/>
      <w:r>
        <w:rPr>
          <w:rFonts w:hint="eastAsia" w:ascii="方正小标宋简体" w:hAnsi="方正小标宋简体" w:eastAsia="方正小标宋简体" w:cs="方正小标宋简体"/>
          <w:color w:val="auto"/>
          <w:sz w:val="56"/>
          <w:szCs w:val="56"/>
          <w:highlight w:val="none"/>
          <w:lang w:val="en-US" w:eastAsia="zh-CN"/>
        </w:rPr>
        <w:t>长沙市开福区</w:t>
      </w:r>
      <w:r>
        <w:rPr>
          <w:rFonts w:hint="eastAsia" w:ascii="方正小标宋简体" w:hAnsi="方正小标宋简体" w:eastAsia="方正小标宋简体" w:cs="方正小标宋简体"/>
          <w:color w:val="auto"/>
          <w:sz w:val="56"/>
          <w:szCs w:val="56"/>
          <w:highlight w:val="none"/>
        </w:rPr>
        <w:t>碳达</w:t>
      </w:r>
      <w:bookmarkEnd w:id="0"/>
      <w:bookmarkStart w:id="2" w:name="_Toc30780"/>
      <w:r>
        <w:rPr>
          <w:rFonts w:hint="eastAsia" w:ascii="方正小标宋简体" w:hAnsi="方正小标宋简体" w:eastAsia="方正小标宋简体" w:cs="方正小标宋简体"/>
          <w:color w:val="auto"/>
          <w:sz w:val="56"/>
          <w:szCs w:val="56"/>
          <w:highlight w:val="none"/>
        </w:rPr>
        <w:t>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56"/>
          <w:szCs w:val="56"/>
          <w:highlight w:val="none"/>
        </w:rPr>
        <w:t>实施方案</w:t>
      </w:r>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方正小标宋简体" w:hAnsi="方正小标宋简体" w:eastAsia="方正小标宋简体" w:cs="方正小标宋简体"/>
          <w:color w:val="auto"/>
          <w:sz w:val="56"/>
          <w:szCs w:val="56"/>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方正小标宋简体" w:hAnsi="方正小标宋简体" w:eastAsia="方正小标宋简体" w:cs="方正小标宋简体"/>
          <w:color w:val="auto"/>
          <w:sz w:val="56"/>
          <w:szCs w:val="56"/>
          <w:highlight w:val="none"/>
          <w:lang w:val="en-US" w:eastAsia="zh-CN"/>
        </w:rPr>
      </w:pPr>
      <w:r>
        <w:rPr>
          <w:rFonts w:hint="default" w:ascii="方正小标宋简体" w:hAnsi="方正小标宋简体" w:eastAsia="方正小标宋简体" w:cs="方正小标宋简体"/>
          <w:color w:val="auto"/>
          <w:sz w:val="56"/>
          <w:szCs w:val="56"/>
          <w:highlight w:val="none"/>
          <w:lang w:val="en-US" w:eastAsia="zh-CN"/>
        </w:rPr>
        <w:t>（</w:t>
      </w:r>
      <w:r>
        <w:rPr>
          <w:rFonts w:hint="eastAsia" w:ascii="方正小标宋简体" w:hAnsi="方正小标宋简体" w:eastAsia="方正小标宋简体" w:cs="方正小标宋简体"/>
          <w:color w:val="auto"/>
          <w:sz w:val="56"/>
          <w:szCs w:val="56"/>
          <w:highlight w:val="none"/>
          <w:lang w:val="en-US" w:eastAsia="zh-CN"/>
        </w:rPr>
        <w:t>征求意见稿</w:t>
      </w:r>
      <w:bookmarkStart w:id="36" w:name="_GoBack"/>
      <w:bookmarkEnd w:id="36"/>
      <w:r>
        <w:rPr>
          <w:rFonts w:hint="default" w:ascii="方正小标宋简体" w:hAnsi="方正小标宋简体" w:eastAsia="方正小标宋简体" w:cs="方正小标宋简体"/>
          <w:color w:val="auto"/>
          <w:sz w:val="56"/>
          <w:szCs w:val="56"/>
          <w:highlight w:val="none"/>
          <w:lang w:val="en-US" w:eastAsia="zh-CN"/>
        </w:rPr>
        <w:t>）</w:t>
      </w:r>
    </w:p>
    <w:p>
      <w:pPr>
        <w:ind w:firstLine="640"/>
        <w:rPr>
          <w:rFonts w:ascii="仿宋" w:hAnsi="仿宋" w:eastAsia="仿宋"/>
          <w:color w:val="auto"/>
          <w:highlight w:val="none"/>
        </w:rPr>
      </w:pPr>
    </w:p>
    <w:p>
      <w:pPr>
        <w:ind w:firstLine="640"/>
        <w:rPr>
          <w:rFonts w:ascii="仿宋" w:hAnsi="仿宋" w:eastAsia="仿宋"/>
          <w:color w:val="auto"/>
          <w:highlight w:val="none"/>
        </w:rPr>
      </w:pPr>
    </w:p>
    <w:p>
      <w:pPr>
        <w:ind w:firstLine="640"/>
        <w:rPr>
          <w:rFonts w:ascii="仿宋" w:hAnsi="仿宋" w:eastAsia="仿宋"/>
          <w:color w:val="auto"/>
          <w:highlight w:val="none"/>
        </w:rPr>
      </w:pPr>
    </w:p>
    <w:p>
      <w:pPr>
        <w:ind w:firstLine="640"/>
        <w:rPr>
          <w:rFonts w:ascii="仿宋" w:hAnsi="仿宋" w:eastAsia="仿宋"/>
          <w:color w:val="auto"/>
          <w:highlight w:val="none"/>
        </w:rPr>
      </w:pPr>
    </w:p>
    <w:p>
      <w:pPr>
        <w:ind w:firstLine="640"/>
        <w:rPr>
          <w:rFonts w:ascii="仿宋" w:hAnsi="仿宋" w:eastAsia="仿宋"/>
          <w:color w:val="auto"/>
          <w:highlight w:val="none"/>
        </w:rPr>
      </w:pPr>
    </w:p>
    <w:p>
      <w:pPr>
        <w:ind w:firstLine="640"/>
        <w:rPr>
          <w:rFonts w:ascii="仿宋" w:hAnsi="仿宋" w:eastAsia="仿宋"/>
          <w:color w:val="auto"/>
          <w:highlight w:val="none"/>
        </w:rPr>
      </w:pPr>
    </w:p>
    <w:p>
      <w:pPr>
        <w:ind w:firstLine="640"/>
        <w:rPr>
          <w:rFonts w:ascii="仿宋" w:hAnsi="仿宋" w:eastAsia="仿宋"/>
          <w:color w:val="auto"/>
          <w:highlight w:val="none"/>
        </w:rPr>
      </w:pPr>
    </w:p>
    <w:p>
      <w:pPr>
        <w:pStyle w:val="2"/>
        <w:ind w:firstLine="640"/>
        <w:rPr>
          <w:color w:val="auto"/>
          <w:highlight w:val="none"/>
        </w:rPr>
      </w:pPr>
    </w:p>
    <w:p>
      <w:pPr>
        <w:ind w:firstLine="640"/>
        <w:rPr>
          <w:rFonts w:ascii="仿宋" w:hAnsi="仿宋" w:eastAsia="仿宋"/>
          <w:color w:val="auto"/>
          <w:highlight w:val="none"/>
        </w:rPr>
      </w:pPr>
    </w:p>
    <w:p>
      <w:pPr>
        <w:ind w:firstLine="0" w:firstLineChars="0"/>
        <w:rPr>
          <w:rFonts w:ascii="仿宋" w:hAnsi="仿宋" w:eastAsia="仿宋"/>
          <w:color w:val="auto"/>
          <w:highlight w:val="none"/>
        </w:rPr>
      </w:pPr>
    </w:p>
    <w:p>
      <w:pPr>
        <w:tabs>
          <w:tab w:val="left" w:pos="3561"/>
        </w:tabs>
        <w:ind w:firstLine="0" w:firstLineChars="0"/>
        <w:jc w:val="center"/>
        <w:rPr>
          <w:rFonts w:ascii="仿宋_GB2312" w:hAnsi="仿宋_GB2312" w:cs="仿宋_GB2312"/>
          <w:b/>
          <w:bCs/>
          <w:color w:val="auto"/>
          <w:sz w:val="36"/>
          <w:szCs w:val="28"/>
          <w:highlight w:val="none"/>
        </w:rPr>
      </w:pPr>
      <w:r>
        <w:rPr>
          <w:rFonts w:hint="eastAsia" w:cs="仿宋_GB2312"/>
          <w:b/>
          <w:bCs/>
          <w:color w:val="auto"/>
          <w:sz w:val="36"/>
          <w:szCs w:val="28"/>
          <w:highlight w:val="none"/>
          <w:lang w:val="en-US" w:eastAsia="zh-CN"/>
        </w:rPr>
        <w:t>开福区</w:t>
      </w:r>
      <w:r>
        <w:rPr>
          <w:rFonts w:hint="eastAsia" w:ascii="仿宋_GB2312" w:hAnsi="仿宋_GB2312" w:cs="仿宋_GB2312"/>
          <w:b/>
          <w:bCs/>
          <w:color w:val="auto"/>
          <w:sz w:val="36"/>
          <w:szCs w:val="28"/>
          <w:highlight w:val="none"/>
        </w:rPr>
        <w:t>发展和改革局</w:t>
      </w:r>
    </w:p>
    <w:p>
      <w:pPr>
        <w:tabs>
          <w:tab w:val="left" w:pos="3208"/>
        </w:tabs>
        <w:spacing w:line="240" w:lineRule="auto"/>
        <w:ind w:firstLine="0" w:firstLineChars="0"/>
        <w:jc w:val="center"/>
        <w:rPr>
          <w:rFonts w:ascii="仿宋" w:hAnsi="仿宋" w:eastAsia="仿宋" w:cs="仿宋"/>
          <w:color w:val="auto"/>
          <w:szCs w:val="32"/>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964" w:footer="992" w:gutter="0"/>
          <w:pgNumType w:start="1"/>
          <w:cols w:space="425" w:num="1"/>
          <w:docGrid w:type="lines" w:linePitch="435" w:charSpace="0"/>
        </w:sectPr>
      </w:pPr>
      <w:r>
        <w:rPr>
          <w:rFonts w:hint="eastAsia" w:ascii="仿宋_GB2312" w:hAnsi="仿宋_GB2312" w:cs="仿宋_GB2312"/>
          <w:b/>
          <w:bCs/>
          <w:color w:val="auto"/>
          <w:sz w:val="36"/>
          <w:szCs w:val="28"/>
          <w:highlight w:val="none"/>
        </w:rPr>
        <w:t>2023年</w:t>
      </w:r>
      <w:r>
        <w:rPr>
          <w:rFonts w:hint="eastAsia" w:cs="仿宋_GB2312"/>
          <w:b/>
          <w:bCs/>
          <w:color w:val="auto"/>
          <w:sz w:val="36"/>
          <w:szCs w:val="28"/>
          <w:highlight w:val="none"/>
          <w:lang w:val="en-US" w:eastAsia="zh-CN"/>
        </w:rPr>
        <w:t>8</w:t>
      </w:r>
      <w:r>
        <w:rPr>
          <w:rFonts w:hint="eastAsia" w:ascii="仿宋_GB2312" w:hAnsi="仿宋_GB2312" w:cs="仿宋_GB2312"/>
          <w:b/>
          <w:bCs/>
          <w:color w:val="auto"/>
          <w:sz w:val="36"/>
          <w:szCs w:val="28"/>
          <w:highlight w:val="none"/>
        </w:rPr>
        <w:t>月</w:t>
      </w:r>
    </w:p>
    <w:sdt>
      <w:sdtPr>
        <w:rPr>
          <w:b/>
          <w:bCs/>
          <w:color w:val="auto"/>
          <w:highlight w:val="none"/>
          <w:lang w:val="en-US" w:eastAsia="zh-CN"/>
        </w:rPr>
        <w:id w:val="147462803"/>
        <w15:color w:val="DBDBDB"/>
        <w:docPartObj>
          <w:docPartGallery w:val="Table of Contents"/>
          <w:docPartUnique/>
        </w:docPartObj>
      </w:sdtPr>
      <w:sdtEndPr>
        <w:rPr>
          <w:rFonts w:hint="eastAsia" w:ascii="方正小标宋简体" w:hAnsi="方正小标宋简体" w:eastAsia="方正小标宋简体" w:cs="方正小标宋简体"/>
          <w:b/>
          <w:bCs/>
          <w:color w:val="auto"/>
          <w:kern w:val="2"/>
          <w:sz w:val="32"/>
          <w:szCs w:val="44"/>
          <w:highlight w:val="none"/>
          <w:lang w:val="en-US" w:eastAsia="zh-CN" w:bidi="ar-SA"/>
        </w:rPr>
      </w:sdtEndPr>
      <w:sdtContent>
        <w:p>
          <w:pPr>
            <w:bidi w:val="0"/>
            <w:jc w:val="center"/>
            <w:outlineLvl w:val="9"/>
            <w:rPr>
              <w:b/>
              <w:bCs/>
              <w:color w:val="auto"/>
              <w:highlight w:val="none"/>
            </w:rPr>
          </w:pPr>
          <w:r>
            <w:rPr>
              <w:b/>
              <w:bCs/>
              <w:color w:val="auto"/>
              <w:highlight w:val="none"/>
            </w:rPr>
            <w:t>目</w:t>
          </w:r>
          <w:r>
            <w:rPr>
              <w:rFonts w:hint="eastAsia"/>
              <w:b/>
              <w:bCs/>
              <w:color w:val="auto"/>
              <w:highlight w:val="none"/>
              <w:lang w:val="en-US" w:eastAsia="zh-CN"/>
            </w:rPr>
            <w:t xml:space="preserve"> </w:t>
          </w:r>
          <w:r>
            <w:rPr>
              <w:b/>
              <w:bCs/>
              <w:color w:val="auto"/>
              <w:highlight w:val="none"/>
            </w:rPr>
            <w:t>录</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TOC \o "1-2" \h \u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_Toc24955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一、总体要求</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_Toc24955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1</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_Toc31605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（一）指导思想</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_Toc31605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1</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_Toc14362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（二）基本原则</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_Toc14362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_Toc8225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二、主要目标</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_Toc8225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3</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_Toc5404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三、重点任务</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_Toc5404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3</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_Toc23078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（一）推动产业绿色低碳发展</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_Toc23078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3</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_Toc23939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（二）构建低碳安全高效的能源体系</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_Toc23939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5</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_Toc24752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（三）提高能源利用效率</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_Toc24752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7</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_Toc24908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（四）提高低碳集约建设水平</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_Toc24908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9</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_Toc27451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（五）形成绿色低碳交通方式</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_Toc27451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12</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_Toc27544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（六）提升生态固碳增汇能力</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_Toc27544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14</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_Toc2991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（七）创新科技降碳方式</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_Toc2991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16</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_Toc5327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（八）大力发展循环经济</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_Toc5327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18</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_Toc5747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（九）倡导低碳生活方式</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_Toc5747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19</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_Toc28399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（十）深入开展低碳试点示范行动</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_Toc28399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20</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_Toc28658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四、政策保障</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_Toc28658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21</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_Toc9592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（一）完善统计核算体系</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_Toc9592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21</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_Toc4965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（二）优化项目准入制度</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_Toc4965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22</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_Toc13712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（三）完善支持政策</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_Toc13712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22</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_Toc1255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（四）强化市场化机制</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_Toc1255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22</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_Toc18508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（五）大力发展绿色金融</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_Toc18508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23</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_Toc12564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五、组织实施</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_Toc12564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23</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_Toc18500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（一）加强组织领导</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_Toc18500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23</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_Toc3786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（二）强化监督考核机制</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_Toc3786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24</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_Toc21732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b w:val="0"/>
              <w:bCs w:val="0"/>
              <w:color w:val="auto"/>
              <w:sz w:val="28"/>
              <w:szCs w:val="28"/>
              <w:highlight w:val="none"/>
            </w:rPr>
            <w:t>（三）加强风险防控</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_Toc21732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24</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_Toc15299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cs="仿宋_GB2312"/>
              <w:b w:val="0"/>
              <w:bCs w:val="0"/>
              <w:color w:val="auto"/>
              <w:sz w:val="28"/>
              <w:szCs w:val="28"/>
              <w:highlight w:val="none"/>
              <w:lang w:val="en-US" w:eastAsia="zh-CN"/>
            </w:rPr>
            <w:t>附件1</w:t>
          </w:r>
          <w:r>
            <w:rPr>
              <w:rFonts w:hint="eastAsia" w:ascii="仿宋_GB2312" w:hAnsi="仿宋_GB2312" w:eastAsia="仿宋_GB2312" w:cs="方正小标宋简体"/>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lang w:val="en-US" w:eastAsia="zh-CN"/>
            </w:rPr>
            <w:t xml:space="preserve"> </w:t>
          </w: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_Toc2320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cs="仿宋_GB2312"/>
              <w:b w:val="0"/>
              <w:bCs w:val="0"/>
              <w:color w:val="auto"/>
              <w:sz w:val="28"/>
              <w:szCs w:val="28"/>
              <w:highlight w:val="none"/>
            </w:rPr>
            <w:t>长沙市开福区碳达峰实施方案重点事项清单</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_Toc2320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25</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ascii="仿宋_GB2312" w:hAnsi="仿宋_GB2312" w:eastAsia="仿宋_GB2312"/>
              <w:b w:val="0"/>
              <w:bCs w:val="0"/>
              <w:color w:val="auto"/>
              <w:sz w:val="28"/>
              <w:szCs w:val="28"/>
              <w:highlight w:val="none"/>
            </w:rPr>
          </w:pP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_Toc21276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cs="仿宋_GB2312"/>
              <w:b w:val="0"/>
              <w:bCs w:val="0"/>
              <w:color w:val="auto"/>
              <w:sz w:val="28"/>
              <w:szCs w:val="28"/>
              <w:highlight w:val="none"/>
              <w:lang w:val="en-US" w:eastAsia="zh-CN"/>
            </w:rPr>
            <w:t>附件2</w:t>
          </w:r>
          <w:r>
            <w:rPr>
              <w:rFonts w:hint="eastAsia" w:ascii="仿宋_GB2312" w:hAnsi="仿宋_GB2312" w:eastAsia="仿宋_GB2312" w:cs="方正小标宋简体"/>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lang w:val="en-US" w:eastAsia="zh-CN"/>
            </w:rPr>
            <w:t xml:space="preserve"> </w:t>
          </w:r>
          <w:r>
            <w:rPr>
              <w:rFonts w:hint="eastAsia" w:ascii="仿宋_GB2312" w:hAnsi="仿宋_GB2312" w:eastAsia="仿宋_GB2312" w:cs="方正小标宋简体"/>
              <w:b w:val="0"/>
              <w:bCs w:val="0"/>
              <w:color w:val="auto"/>
              <w:sz w:val="28"/>
              <w:szCs w:val="28"/>
              <w:highlight w:val="none"/>
            </w:rPr>
            <w:fldChar w:fldCharType="begin"/>
          </w:r>
          <w:r>
            <w:rPr>
              <w:rFonts w:hint="eastAsia" w:ascii="仿宋_GB2312" w:hAnsi="仿宋_GB2312" w:eastAsia="仿宋_GB2312" w:cs="方正小标宋简体"/>
              <w:b w:val="0"/>
              <w:bCs w:val="0"/>
              <w:color w:val="auto"/>
              <w:sz w:val="28"/>
              <w:szCs w:val="28"/>
              <w:highlight w:val="none"/>
            </w:rPr>
            <w:instrText xml:space="preserve"> HYPERLINK \l _Toc30739 </w:instrText>
          </w:r>
          <w:r>
            <w:rPr>
              <w:rFonts w:hint="eastAsia" w:ascii="仿宋_GB2312" w:hAnsi="仿宋_GB2312" w:eastAsia="仿宋_GB2312" w:cs="方正小标宋简体"/>
              <w:b w:val="0"/>
              <w:bCs w:val="0"/>
              <w:color w:val="auto"/>
              <w:sz w:val="28"/>
              <w:szCs w:val="28"/>
              <w:highlight w:val="none"/>
            </w:rPr>
            <w:fldChar w:fldCharType="separate"/>
          </w:r>
          <w:r>
            <w:rPr>
              <w:rFonts w:hint="eastAsia" w:ascii="仿宋_GB2312" w:hAnsi="仿宋_GB2312" w:eastAsia="仿宋_GB2312" w:cs="仿宋_GB2312"/>
              <w:b w:val="0"/>
              <w:bCs w:val="0"/>
              <w:color w:val="auto"/>
              <w:sz w:val="28"/>
              <w:szCs w:val="28"/>
              <w:highlight w:val="none"/>
              <w:lang w:val="en-US" w:eastAsia="zh-CN"/>
            </w:rPr>
            <w:t>长沙市开福区碳达峰重点项目清单</w:t>
          </w:r>
          <w:r>
            <w:rPr>
              <w:rFonts w:ascii="仿宋_GB2312" w:hAnsi="仿宋_GB2312" w:eastAsia="仿宋_GB2312"/>
              <w:b w:val="0"/>
              <w:bCs w:val="0"/>
              <w:color w:val="auto"/>
              <w:sz w:val="28"/>
              <w:szCs w:val="28"/>
              <w:highlight w:val="none"/>
            </w:rPr>
            <w:tab/>
          </w:r>
          <w:r>
            <w:rPr>
              <w:rFonts w:ascii="仿宋_GB2312" w:hAnsi="仿宋_GB2312" w:eastAsia="仿宋_GB2312"/>
              <w:b w:val="0"/>
              <w:bCs w:val="0"/>
              <w:color w:val="auto"/>
              <w:sz w:val="28"/>
              <w:szCs w:val="28"/>
              <w:highlight w:val="none"/>
            </w:rPr>
            <w:fldChar w:fldCharType="begin"/>
          </w:r>
          <w:r>
            <w:rPr>
              <w:rFonts w:ascii="仿宋_GB2312" w:hAnsi="仿宋_GB2312" w:eastAsia="仿宋_GB2312"/>
              <w:b w:val="0"/>
              <w:bCs w:val="0"/>
              <w:color w:val="auto"/>
              <w:sz w:val="28"/>
              <w:szCs w:val="28"/>
              <w:highlight w:val="none"/>
            </w:rPr>
            <w:instrText xml:space="preserve"> PAGEREF _Toc30739 \h </w:instrText>
          </w:r>
          <w:r>
            <w:rPr>
              <w:rFonts w:ascii="仿宋_GB2312" w:hAnsi="仿宋_GB2312" w:eastAsia="仿宋_GB2312"/>
              <w:b w:val="0"/>
              <w:bCs w:val="0"/>
              <w:color w:val="auto"/>
              <w:sz w:val="28"/>
              <w:szCs w:val="28"/>
              <w:highlight w:val="none"/>
            </w:rPr>
            <w:fldChar w:fldCharType="separate"/>
          </w:r>
          <w:r>
            <w:rPr>
              <w:rFonts w:ascii="仿宋_GB2312" w:hAnsi="仿宋_GB2312" w:eastAsia="仿宋_GB2312"/>
              <w:b w:val="0"/>
              <w:bCs w:val="0"/>
              <w:color w:val="auto"/>
              <w:sz w:val="28"/>
              <w:szCs w:val="28"/>
              <w:highlight w:val="none"/>
            </w:rPr>
            <w:t>31</w:t>
          </w:r>
          <w:r>
            <w:rPr>
              <w:rFonts w:ascii="仿宋_GB2312" w:hAnsi="仿宋_GB2312" w:eastAsia="仿宋_GB2312"/>
              <w:b w:val="0"/>
              <w:bCs w:val="0"/>
              <w:color w:val="auto"/>
              <w:sz w:val="28"/>
              <w:szCs w:val="28"/>
              <w:highlight w:val="none"/>
            </w:rPr>
            <w:fldChar w:fldCharType="end"/>
          </w:r>
          <w:r>
            <w:rPr>
              <w:rFonts w:hint="eastAsia" w:ascii="仿宋_GB2312" w:hAnsi="仿宋_GB2312" w:eastAsia="仿宋_GB2312" w:cs="方正小标宋简体"/>
              <w:b w:val="0"/>
              <w:bCs w:val="0"/>
              <w:color w:val="auto"/>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方正小标宋简体"/>
              <w:b w:val="0"/>
              <w:bCs w:val="0"/>
              <w:color w:val="auto"/>
              <w:sz w:val="28"/>
              <w:szCs w:val="28"/>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before="100" w:after="100" w:line="360" w:lineRule="auto"/>
        <w:ind w:firstLine="0" w:firstLineChars="0"/>
        <w:jc w:val="center"/>
        <w:textAlignment w:val="auto"/>
        <w:rPr>
          <w:rFonts w:hint="eastAsia" w:ascii="仿宋_GB2312" w:hAnsi="仿宋_GB2312" w:eastAsia="方正小标宋简体" w:cs="方正小标宋简体"/>
          <w:color w:val="auto"/>
          <w:kern w:val="44"/>
          <w:sz w:val="44"/>
          <w:szCs w:val="44"/>
          <w:lang w:val="en-US" w:eastAsia="zh-CN" w:bidi="ar-SA"/>
        </w:rPr>
      </w:pPr>
      <w:bookmarkStart w:id="3" w:name="_Toc15314"/>
      <w:r>
        <w:rPr>
          <w:rFonts w:hint="eastAsia" w:ascii="仿宋_GB2312" w:hAnsi="仿宋_GB2312" w:eastAsia="方正小标宋简体" w:cs="方正小标宋简体"/>
          <w:color w:val="auto"/>
          <w:kern w:val="44"/>
          <w:sz w:val="44"/>
          <w:szCs w:val="44"/>
          <w:lang w:val="en-US" w:eastAsia="zh-CN" w:bidi="ar-SA"/>
        </w:rPr>
        <w:t>长沙市开福区碳达峰实施方案</w:t>
      </w:r>
      <w:bookmarkEnd w:id="3"/>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为完整、准确、全面贯彻新发展理念，落实国家碳达峰碳中和重大战略决策，统筹有序合理推进我区经济社会发展全面绿色低碳转型，根据《中共中央 国务院关于完整准确全面贯彻新发展理念做好碳达峰碳中和工作的意见》（中发〔2021〕36号）、《国务院关于印发2030年前碳达峰行动方案的通知》（国发〔2021〕23号）精神、《湖南省人民政府关于印发〈湖南省碳达峰实施方案〉的通知》（湘政发〔2022〕19号）和《长沙市人民政府关于印发〈长沙市碳达峰实施方案〉的通知》（长政发〔2023〕2号）要求，结合我区实际，制定本实施方案。</w:t>
      </w:r>
    </w:p>
    <w:p>
      <w:pPr>
        <w:pStyle w:val="4"/>
        <w:pageBreakBefore w:val="0"/>
        <w:widowControl w:val="0"/>
        <w:kinsoku/>
        <w:wordWrap/>
        <w:overflowPunct/>
        <w:topLinePunct w:val="0"/>
        <w:autoSpaceDE/>
        <w:autoSpaceDN/>
        <w:bidi w:val="0"/>
        <w:adjustRightInd/>
        <w:snapToGrid/>
        <w:textAlignment w:val="auto"/>
        <w:rPr>
          <w:rFonts w:hint="eastAsia"/>
          <w:color w:val="auto"/>
          <w:highlight w:val="none"/>
        </w:rPr>
      </w:pPr>
      <w:bookmarkStart w:id="4" w:name="_Toc24955"/>
      <w:r>
        <w:rPr>
          <w:rFonts w:hint="eastAsia"/>
          <w:color w:val="auto"/>
          <w:highlight w:val="none"/>
        </w:rPr>
        <w:t>一、总体要求</w:t>
      </w:r>
      <w:bookmarkEnd w:id="4"/>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5" w:name="_Toc31605"/>
      <w:r>
        <w:rPr>
          <w:rFonts w:hint="eastAsia"/>
          <w:color w:val="auto"/>
          <w:highlight w:val="none"/>
        </w:rPr>
        <w:t>（一）指导思想</w:t>
      </w:r>
      <w:bookmarkEnd w:id="5"/>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以习近平新时代中国特色社会主义思想为指导，全面贯彻党的二十大</w:t>
      </w:r>
      <w:r>
        <w:rPr>
          <w:rFonts w:hint="eastAsia"/>
          <w:color w:val="auto"/>
          <w:highlight w:val="none"/>
          <w:lang w:val="en-US" w:eastAsia="zh-CN"/>
        </w:rPr>
        <w:t>会议</w:t>
      </w:r>
      <w:r>
        <w:rPr>
          <w:rFonts w:hint="eastAsia"/>
          <w:color w:val="auto"/>
          <w:highlight w:val="none"/>
        </w:rPr>
        <w:t>精神，深入落实习近平总书记关于湖南系列讲话指示精神，立足新发展阶段，贯彻新发展理念，</w:t>
      </w:r>
      <w:r>
        <w:rPr>
          <w:rFonts w:hint="eastAsia"/>
          <w:color w:val="auto"/>
          <w:highlight w:val="none"/>
          <w:lang w:val="en-US" w:eastAsia="zh-CN"/>
        </w:rPr>
        <w:t>结合</w:t>
      </w:r>
      <w:r>
        <w:rPr>
          <w:rFonts w:hint="eastAsia"/>
          <w:color w:val="auto"/>
          <w:highlight w:val="none"/>
        </w:rPr>
        <w:t>开福区实际，科学准确处理发展与减排、整体与局部、短期与中长期的关系。坚持先立后破、稳中求进，强化系统观念和战略思维，突出科学降碳、精准降碳、依法降碳、安全降碳，统筹稳增长和调结构，坚持降碳、减污、扩绿、增长协同推进。明确各领域、各行业目标任务和碳达峰时间表、路线图和施工图，稳实推进碳达峰行动，确保2030年前如期实现碳达峰目标。</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6" w:name="_Toc14362"/>
      <w:r>
        <w:rPr>
          <w:rFonts w:hint="eastAsia"/>
          <w:color w:val="auto"/>
          <w:highlight w:val="none"/>
        </w:rPr>
        <w:t>（二）基本原则</w:t>
      </w:r>
      <w:bookmarkEnd w:id="6"/>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全区统筹，协同推进。以国家、省、市碳达峰行动设计为指引，统筹推进全区碳达峰工作。强化总体设计、整体部署、分类施策、系统推进，压实各方责任，引导全民参与。结合我区实际，科学谋划碳达峰行动目标、任务，统筹推进碳达峰工作。</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系统推进、重点突破。全面准确认识碳达峰行动对经济社会发展的深远影响，加强政策的系统性、协同性。统筹短期和长期、兼顾局部和整体的同时，深入推进视频文创、智能制造、现代物流、高端服务业等重点领域绿色低碳转型，确保重点领域和重点行业与长沙市同步达峰。</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——双轮驱动、两手发力。共同发挥政府和市场的作用，以国家政策为引导，深化能源等相关领域改革，形成有效市场激励约束机制，构建绿色低碳创新体系，稳妥有序推动我区碳达峰工作。</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——因地制宜，试点示范。在马栏山</w:t>
      </w:r>
      <w:r>
        <w:rPr>
          <w:rFonts w:hint="eastAsia"/>
          <w:color w:val="auto"/>
          <w:highlight w:val="none"/>
          <w:lang w:eastAsia="zh-CN"/>
        </w:rPr>
        <w:t>视频</w:t>
      </w:r>
      <w:r>
        <w:rPr>
          <w:rFonts w:hint="eastAsia"/>
          <w:color w:val="auto"/>
          <w:highlight w:val="none"/>
        </w:rPr>
        <w:t>文创</w:t>
      </w:r>
      <w:r>
        <w:rPr>
          <w:rFonts w:hint="eastAsia"/>
          <w:color w:val="auto"/>
          <w:highlight w:val="none"/>
          <w:lang w:eastAsia="zh-CN"/>
        </w:rPr>
        <w:t>产业</w:t>
      </w:r>
      <w:r>
        <w:rPr>
          <w:rFonts w:hint="eastAsia"/>
          <w:color w:val="auto"/>
          <w:highlight w:val="none"/>
        </w:rPr>
        <w:t>园、金霞经开区等重点发展区域，打造一批各具特色的绿色低碳发展试点示范样本。在能源低碳转型、绿色交通、绿色节能等重点领域，打造一批减污降碳标志性工程，加快实现绿色低碳转型，为全区提供可操作、可复制、可推广的经验做法。</w:t>
      </w:r>
    </w:p>
    <w:p>
      <w:pPr>
        <w:pStyle w:val="4"/>
        <w:pageBreakBefore w:val="0"/>
        <w:widowControl w:val="0"/>
        <w:kinsoku/>
        <w:wordWrap/>
        <w:overflowPunct/>
        <w:topLinePunct w:val="0"/>
        <w:autoSpaceDE/>
        <w:autoSpaceDN/>
        <w:bidi w:val="0"/>
        <w:adjustRightInd/>
        <w:snapToGrid/>
        <w:textAlignment w:val="auto"/>
        <w:rPr>
          <w:rFonts w:hint="eastAsia"/>
          <w:color w:val="auto"/>
          <w:highlight w:val="none"/>
        </w:rPr>
      </w:pPr>
      <w:bookmarkStart w:id="7" w:name="_Toc8225"/>
      <w:r>
        <w:rPr>
          <w:rFonts w:hint="eastAsia"/>
          <w:color w:val="auto"/>
          <w:highlight w:val="none"/>
        </w:rPr>
        <w:t>二、主要目标</w:t>
      </w:r>
      <w:bookmarkEnd w:id="7"/>
    </w:p>
    <w:p>
      <w:pPr>
        <w:pageBreakBefore w:val="0"/>
        <w:widowControl w:val="0"/>
        <w:kinsoku/>
        <w:wordWrap/>
        <w:overflowPunct/>
        <w:topLinePunct w:val="0"/>
        <w:autoSpaceDE/>
        <w:autoSpaceDN/>
        <w:bidi w:val="0"/>
        <w:adjustRightInd/>
        <w:snapToGrid/>
        <w:textAlignment w:val="auto"/>
        <w:rPr>
          <w:rFonts w:hint="eastAsia"/>
          <w:color w:val="auto"/>
          <w:highlight w:val="none"/>
          <w:lang w:val="en-US" w:eastAsia="zh-CN"/>
        </w:rPr>
      </w:pPr>
      <w:r>
        <w:rPr>
          <w:rFonts w:hint="eastAsia"/>
          <w:color w:val="auto"/>
          <w:highlight w:val="none"/>
        </w:rPr>
        <w:t>到2025年，我区产业结构和能源结构进一步优化，工业企业能源利用效率持续提升，成品油消费比重稳步下降，非化石能源消费比重进一步提高，绿色低碳技术研发和推广应用取得新进展，绿色低碳循环发展政策体系进一步完善，生产生活方式绿色转型成效明显。</w:t>
      </w:r>
      <w:r>
        <w:rPr>
          <w:rFonts w:hint="eastAsia"/>
          <w:color w:val="auto"/>
          <w:highlight w:val="none"/>
          <w:lang w:val="en-US" w:eastAsia="zh-CN"/>
        </w:rPr>
        <w:t>到2025年，单位GDP能耗较2020年下降15%，单位GDP二氧化碳排放下降率完成市下达目标任务，非化石能源消费比重提高至20%以上；森林覆盖率稳定在15.38%左右，森林蓄积量达51万立方米。</w:t>
      </w:r>
    </w:p>
    <w:p>
      <w:pPr>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highlight w:val="none"/>
          <w:lang w:eastAsia="zh-CN"/>
        </w:rPr>
      </w:pPr>
      <w:r>
        <w:rPr>
          <w:rFonts w:hint="eastAsia"/>
          <w:color w:val="auto"/>
          <w:highlight w:val="none"/>
        </w:rPr>
        <w:t>到2030年，产业结构优化取得明显进展，“清洁低碳、安全高效”的现代能源体系初步建立，制造业等重点用能行业能耗水平达到国际先进水平，各领域低碳循环发展模式基本形成，清洁低碳技术推广机制成熟，绿色生活方式广泛形成，二氧化碳排放达峰，为全区碳中和奠定良好基础。</w:t>
      </w:r>
      <w:r>
        <w:rPr>
          <w:rFonts w:hint="eastAsia"/>
          <w:color w:val="auto"/>
          <w:highlight w:val="none"/>
          <w:lang w:val="en-US" w:eastAsia="zh-CN"/>
        </w:rPr>
        <w:t>到2030年，</w:t>
      </w:r>
      <w:r>
        <w:rPr>
          <w:rFonts w:hint="eastAsia"/>
          <w:color w:val="auto"/>
          <w:highlight w:val="none"/>
        </w:rPr>
        <w:t>单位GDP能耗和二氧化碳排放下降率完成市下达目标任务，</w:t>
      </w:r>
      <w:r>
        <w:rPr>
          <w:rFonts w:hint="eastAsia"/>
          <w:color w:val="auto"/>
          <w:highlight w:val="none"/>
          <w:lang w:val="en-US" w:eastAsia="zh-CN"/>
        </w:rPr>
        <w:t>非化石能源消费比重提高至22%以上</w:t>
      </w:r>
      <w:r>
        <w:rPr>
          <w:rFonts w:hint="eastAsia"/>
          <w:color w:val="auto"/>
          <w:highlight w:val="none"/>
          <w:lang w:eastAsia="zh-CN"/>
        </w:rPr>
        <w:t>；</w:t>
      </w:r>
      <w:r>
        <w:rPr>
          <w:rFonts w:hint="eastAsia"/>
          <w:color w:val="auto"/>
          <w:highlight w:val="none"/>
        </w:rPr>
        <w:t>森林覆盖率</w:t>
      </w:r>
      <w:r>
        <w:rPr>
          <w:rFonts w:hint="eastAsia"/>
          <w:color w:val="auto"/>
          <w:highlight w:val="none"/>
          <w:lang w:val="en-US" w:eastAsia="zh-CN"/>
        </w:rPr>
        <w:t>稳定在15.38</w:t>
      </w:r>
      <w:r>
        <w:rPr>
          <w:rFonts w:hint="eastAsia"/>
          <w:color w:val="auto"/>
          <w:highlight w:val="none"/>
        </w:rPr>
        <w:t>%</w:t>
      </w:r>
      <w:r>
        <w:rPr>
          <w:rFonts w:hint="eastAsia"/>
          <w:color w:val="auto"/>
          <w:highlight w:val="none"/>
          <w:lang w:val="en-US" w:eastAsia="zh-CN"/>
        </w:rPr>
        <w:t>左右</w:t>
      </w:r>
      <w:r>
        <w:rPr>
          <w:rFonts w:hint="eastAsia"/>
          <w:color w:val="auto"/>
          <w:highlight w:val="none"/>
        </w:rPr>
        <w:t>，森林蓄积量达</w:t>
      </w:r>
      <w:r>
        <w:rPr>
          <w:rFonts w:hint="eastAsia"/>
          <w:color w:val="auto"/>
          <w:highlight w:val="none"/>
          <w:lang w:val="en-US" w:eastAsia="zh-CN"/>
        </w:rPr>
        <w:t>60</w:t>
      </w:r>
      <w:r>
        <w:rPr>
          <w:rFonts w:hint="eastAsia"/>
          <w:color w:val="auto"/>
          <w:highlight w:val="none"/>
        </w:rPr>
        <w:t>万立方米</w:t>
      </w:r>
      <w:r>
        <w:rPr>
          <w:rFonts w:hint="eastAsia"/>
          <w:color w:val="auto"/>
          <w:highlight w:val="none"/>
          <w:lang w:eastAsia="zh-CN"/>
        </w:rPr>
        <w:t>。</w:t>
      </w:r>
    </w:p>
    <w:p>
      <w:pPr>
        <w:pStyle w:val="4"/>
        <w:pageBreakBefore w:val="0"/>
        <w:widowControl w:val="0"/>
        <w:kinsoku/>
        <w:wordWrap/>
        <w:overflowPunct/>
        <w:topLinePunct w:val="0"/>
        <w:autoSpaceDE/>
        <w:autoSpaceDN/>
        <w:bidi w:val="0"/>
        <w:adjustRightInd/>
        <w:snapToGrid/>
        <w:textAlignment w:val="auto"/>
        <w:rPr>
          <w:rFonts w:hint="eastAsia"/>
          <w:color w:val="auto"/>
          <w:highlight w:val="none"/>
        </w:rPr>
      </w:pPr>
      <w:bookmarkStart w:id="8" w:name="_Toc5404"/>
      <w:r>
        <w:rPr>
          <w:rFonts w:hint="eastAsia"/>
          <w:color w:val="auto"/>
          <w:highlight w:val="none"/>
        </w:rPr>
        <w:t>三、重点任务</w:t>
      </w:r>
      <w:bookmarkEnd w:id="8"/>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9" w:name="_Toc23078"/>
      <w:r>
        <w:rPr>
          <w:rFonts w:hint="eastAsia"/>
          <w:color w:val="auto"/>
          <w:highlight w:val="none"/>
        </w:rPr>
        <w:t>（一）推动产业绿色低碳发展</w:t>
      </w:r>
      <w:bookmarkEnd w:id="9"/>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1.培育绿色低碳新兴产业</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聚焦新一代信息技术、高端装备制造、新材料、生物技术、节能环保等领域，重点锁定可穿戴设备、汽车电子、</w:t>
      </w:r>
      <w:r>
        <w:rPr>
          <w:rFonts w:hint="eastAsia"/>
          <w:color w:val="auto"/>
          <w:highlight w:val="none"/>
          <w:lang w:val="en-US" w:eastAsia="zh-CN"/>
        </w:rPr>
        <w:t>物联网</w:t>
      </w:r>
      <w:r>
        <w:rPr>
          <w:rFonts w:hint="eastAsia"/>
          <w:color w:val="auto"/>
          <w:highlight w:val="none"/>
        </w:rPr>
        <w:t>、手机终端、移动智能终端等消费类电子产品制造。依托金霞经开区“水、陆、铁、管、临空”五元化网络交通运输优势，大力发展现代物流、消费电子、智能制造产业。以视频产业为核心，构建视频产业、动漫游戏产业、数字出版产业三大互联互通的产业圈层，加快文创旅游</w:t>
      </w:r>
      <w:r>
        <w:rPr>
          <w:rFonts w:hint="eastAsia"/>
          <w:color w:val="auto"/>
          <w:highlight w:val="none"/>
          <w:lang w:val="en-US" w:eastAsia="zh-CN"/>
        </w:rPr>
        <w:t>产业</w:t>
      </w:r>
      <w:r>
        <w:rPr>
          <w:rFonts w:hint="eastAsia"/>
          <w:color w:val="auto"/>
          <w:highlight w:val="none"/>
        </w:rPr>
        <w:t>的发展。促进前沿技术、颠覆性技术创新和成果转化</w:t>
      </w:r>
      <w:r>
        <w:rPr>
          <w:rFonts w:hint="eastAsia"/>
          <w:color w:val="auto"/>
          <w:highlight w:val="none"/>
          <w:lang w:eastAsia="zh-CN"/>
        </w:rPr>
        <w:t>，</w:t>
      </w:r>
      <w:r>
        <w:rPr>
          <w:rFonts w:hint="eastAsia"/>
          <w:color w:val="auto"/>
          <w:highlight w:val="none"/>
        </w:rPr>
        <w:t>以马栏山视频文创产业园为依托，围绕视频文创核心主业，打造音视频产业研发中心基地。（</w:t>
      </w:r>
      <w:r>
        <w:rPr>
          <w:rFonts w:hint="eastAsia"/>
          <w:color w:val="auto"/>
          <w:highlight w:val="none"/>
          <w:lang w:val="en-US" w:eastAsia="zh-CN"/>
        </w:rPr>
        <w:t>马栏山(长沙)视频文创管理委员会、长沙金霞经济开发区管理委员会、</w:t>
      </w:r>
      <w:r>
        <w:rPr>
          <w:rFonts w:hint="eastAsia"/>
          <w:color w:val="auto"/>
          <w:highlight w:val="none"/>
        </w:rPr>
        <w:t>区交通运输局</w:t>
      </w:r>
      <w:r>
        <w:rPr>
          <w:rFonts w:hint="eastAsia"/>
          <w:color w:val="auto"/>
          <w:highlight w:val="none"/>
          <w:lang w:eastAsia="zh-CN"/>
        </w:rPr>
        <w:t>、</w:t>
      </w:r>
      <w:r>
        <w:rPr>
          <w:rFonts w:hint="eastAsia"/>
          <w:color w:val="auto"/>
          <w:highlight w:val="none"/>
        </w:rPr>
        <w:t>区工业和信息化局、</w:t>
      </w:r>
      <w:r>
        <w:rPr>
          <w:rFonts w:hint="eastAsia"/>
          <w:color w:val="auto"/>
          <w:highlight w:val="none"/>
          <w:lang w:val="en-US" w:eastAsia="zh-CN"/>
        </w:rPr>
        <w:t>区商务局、区文化旅游体育局等</w:t>
      </w:r>
      <w:r>
        <w:rPr>
          <w:rFonts w:hint="eastAsia"/>
          <w:color w:val="auto"/>
          <w:highlight w:val="none"/>
        </w:rPr>
        <w:t>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2.推动制造业绿色高质量发展</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紧抓长沙建设国家重要先进制造业中心机遇，围绕</w:t>
      </w:r>
      <w:r>
        <w:rPr>
          <w:rFonts w:hint="eastAsia"/>
          <w:color w:val="auto"/>
          <w:highlight w:val="none"/>
          <w:lang w:val="en-US" w:eastAsia="zh-CN"/>
        </w:rPr>
        <w:t>建材行业、机械行业、食品行业</w:t>
      </w:r>
      <w:r>
        <w:rPr>
          <w:rFonts w:hint="eastAsia"/>
          <w:color w:val="auto"/>
          <w:highlight w:val="none"/>
        </w:rPr>
        <w:t>等产业，推行绿色设计、完善绿色制造体系，以低碳引领绿色制造工程</w:t>
      </w:r>
      <w:r>
        <w:rPr>
          <w:rFonts w:hint="eastAsia"/>
          <w:color w:val="auto"/>
          <w:highlight w:val="none"/>
          <w:lang w:eastAsia="zh-CN"/>
        </w:rPr>
        <w:t>，</w:t>
      </w:r>
      <w:r>
        <w:rPr>
          <w:rFonts w:hint="eastAsia"/>
          <w:color w:val="auto"/>
          <w:highlight w:val="none"/>
        </w:rPr>
        <w:t>助力长沙率先打造国家智能制造中心</w:t>
      </w:r>
      <w:r>
        <w:rPr>
          <w:rFonts w:hint="eastAsia"/>
          <w:color w:val="auto"/>
          <w:highlight w:val="none"/>
          <w:lang w:eastAsia="zh-CN"/>
        </w:rPr>
        <w:t>。</w:t>
      </w:r>
      <w:r>
        <w:rPr>
          <w:rFonts w:hint="eastAsia"/>
          <w:color w:val="auto"/>
          <w:highlight w:val="none"/>
          <w:lang w:val="en-US" w:eastAsia="zh-CN"/>
        </w:rPr>
        <w:t>以</w:t>
      </w:r>
      <w:r>
        <w:rPr>
          <w:rFonts w:hint="eastAsia"/>
          <w:color w:val="auto"/>
          <w:highlight w:val="none"/>
        </w:rPr>
        <w:t>创建具有国际影响力的现代化金霞新城、现代化新湖南示范区、长江经济带重要枢纽</w:t>
      </w:r>
      <w:r>
        <w:rPr>
          <w:rFonts w:hint="eastAsia"/>
          <w:color w:val="auto"/>
          <w:highlight w:val="none"/>
          <w:lang w:val="en-US" w:eastAsia="zh-CN"/>
        </w:rPr>
        <w:t>为契机</w:t>
      </w:r>
      <w:r>
        <w:rPr>
          <w:rFonts w:hint="eastAsia"/>
          <w:color w:val="auto"/>
          <w:highlight w:val="none"/>
        </w:rPr>
        <w:t>，积极引导区内制造业企业加大技术改造力度，支持重大关键技术与创新产品研发</w:t>
      </w:r>
      <w:r>
        <w:rPr>
          <w:rFonts w:hint="eastAsia"/>
          <w:color w:val="auto"/>
          <w:highlight w:val="none"/>
          <w:lang w:eastAsia="zh-CN"/>
        </w:rPr>
        <w:t>。</w:t>
      </w:r>
      <w:r>
        <w:rPr>
          <w:rFonts w:hint="eastAsia"/>
          <w:color w:val="auto"/>
          <w:highlight w:val="none"/>
        </w:rPr>
        <w:t>推动互联网、大数据、人工智能等与</w:t>
      </w:r>
      <w:r>
        <w:rPr>
          <w:rFonts w:hint="eastAsia"/>
          <w:color w:val="auto"/>
          <w:highlight w:val="none"/>
          <w:lang w:val="en-US" w:eastAsia="zh-CN"/>
        </w:rPr>
        <w:t>制造</w:t>
      </w:r>
      <w:r>
        <w:rPr>
          <w:rFonts w:hint="eastAsia"/>
          <w:color w:val="auto"/>
          <w:highlight w:val="none"/>
        </w:rPr>
        <w:t>业深度融合，培育</w:t>
      </w:r>
      <w:r>
        <w:rPr>
          <w:rFonts w:hint="eastAsia"/>
          <w:color w:val="auto"/>
          <w:highlight w:val="none"/>
          <w:lang w:val="en-US" w:eastAsia="zh-CN"/>
        </w:rPr>
        <w:t>制造</w:t>
      </w:r>
      <w:r>
        <w:rPr>
          <w:rFonts w:hint="eastAsia"/>
          <w:color w:val="auto"/>
          <w:highlight w:val="none"/>
        </w:rPr>
        <w:t>业新技术、新产品、新业态、新模式。（区工业和信息化局</w:t>
      </w:r>
      <w:r>
        <w:rPr>
          <w:rFonts w:hint="eastAsia"/>
          <w:color w:val="auto"/>
          <w:highlight w:val="none"/>
          <w:lang w:val="en-US" w:eastAsia="zh-CN"/>
        </w:rPr>
        <w:t>牵头，马栏山（长沙）视频文创园管理委员会、长沙金霞经济开发区管理委员会</w:t>
      </w:r>
      <w:r>
        <w:rPr>
          <w:rFonts w:hint="eastAsia"/>
          <w:color w:val="auto"/>
          <w:highlight w:val="none"/>
        </w:rPr>
        <w:t>、</w:t>
      </w:r>
      <w:r>
        <w:rPr>
          <w:rFonts w:hint="eastAsia"/>
          <w:color w:val="auto"/>
          <w:highlight w:val="none"/>
          <w:lang w:eastAsia="zh-CN"/>
        </w:rPr>
        <w:t>区发展和改革局、</w:t>
      </w:r>
      <w:r>
        <w:rPr>
          <w:rFonts w:hint="eastAsia"/>
          <w:color w:val="auto"/>
          <w:highlight w:val="none"/>
          <w:lang w:val="en-US" w:eastAsia="zh-CN"/>
        </w:rPr>
        <w:t>区科学技术局</w:t>
      </w:r>
      <w:r>
        <w:rPr>
          <w:rFonts w:hint="eastAsia"/>
          <w:color w:val="auto"/>
          <w:highlight w:val="none"/>
          <w:lang w:eastAsia="zh-CN"/>
        </w:rPr>
        <w:t>、</w:t>
      </w:r>
      <w:r>
        <w:rPr>
          <w:rFonts w:hint="eastAsia"/>
          <w:color w:val="auto"/>
          <w:highlight w:val="none"/>
          <w:lang w:val="en-US" w:eastAsia="zh-CN"/>
        </w:rPr>
        <w:t>区住房和城乡建设局等</w:t>
      </w:r>
      <w:r>
        <w:rPr>
          <w:rFonts w:hint="eastAsia"/>
          <w:color w:val="auto"/>
          <w:highlight w:val="none"/>
        </w:rPr>
        <w:t>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3.改造提升传统制造产业</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以工程机械、食品加工</w:t>
      </w:r>
      <w:r>
        <w:rPr>
          <w:rFonts w:hint="eastAsia"/>
          <w:color w:val="auto"/>
          <w:highlight w:val="none"/>
          <w:lang w:val="en-US" w:eastAsia="zh-CN"/>
        </w:rPr>
        <w:t>等</w:t>
      </w:r>
      <w:r>
        <w:rPr>
          <w:rFonts w:hint="eastAsia"/>
          <w:color w:val="auto"/>
          <w:highlight w:val="none"/>
        </w:rPr>
        <w:t>传统制造业为主体，推动区域新旧动能转换，加快引导企业淘汰落后产能，扎实淘汰高污染、高耗能、低成效的过剩产能。推动传统制造产业数字化、智能化、网络化转变，重构传统制造业新活力。进一步完善区域创新体系和政产学研合作机制，提升企业创新能力，传统制造业创新投入和产出水平明显提高。全力打造集“高端制造+创新研发”为一体的新型消费类电子产业中心，</w:t>
      </w:r>
      <w:r>
        <w:rPr>
          <w:rFonts w:hint="eastAsia"/>
          <w:color w:val="auto"/>
          <w:highlight w:val="none"/>
          <w:lang w:val="en-US" w:eastAsia="zh-CN"/>
        </w:rPr>
        <w:t>推动金霞经开区</w:t>
      </w:r>
      <w:r>
        <w:rPr>
          <w:rFonts w:hint="eastAsia"/>
          <w:color w:val="auto"/>
          <w:highlight w:val="none"/>
        </w:rPr>
        <w:t>建成辐射全国的现代物流中心，在打造国家重要先进制造业高地中展示新作为。（区工业和信息化局</w:t>
      </w:r>
      <w:r>
        <w:rPr>
          <w:rFonts w:hint="eastAsia"/>
          <w:color w:val="auto"/>
          <w:highlight w:val="none"/>
          <w:lang w:val="en-US" w:eastAsia="zh-CN"/>
        </w:rPr>
        <w:t>牵头，长沙金霞经济开发区管理委员会</w:t>
      </w:r>
      <w:r>
        <w:rPr>
          <w:rFonts w:hint="eastAsia"/>
          <w:color w:val="auto"/>
          <w:highlight w:val="none"/>
        </w:rPr>
        <w:t>、区发展和改革局、</w:t>
      </w:r>
      <w:r>
        <w:rPr>
          <w:rFonts w:hint="eastAsia"/>
          <w:color w:val="auto"/>
          <w:highlight w:val="none"/>
          <w:lang w:eastAsia="zh-CN"/>
        </w:rPr>
        <w:t>区市场监督管理局</w:t>
      </w:r>
      <w:r>
        <w:rPr>
          <w:rFonts w:hint="eastAsia"/>
          <w:color w:val="auto"/>
          <w:highlight w:val="none"/>
        </w:rPr>
        <w:t>、市生态环境局开福分局</w:t>
      </w:r>
      <w:r>
        <w:rPr>
          <w:rFonts w:hint="eastAsia"/>
          <w:color w:val="auto"/>
          <w:highlight w:val="none"/>
          <w:lang w:val="en-US" w:eastAsia="zh-CN"/>
        </w:rPr>
        <w:t>等</w:t>
      </w:r>
      <w:r>
        <w:rPr>
          <w:rFonts w:hint="eastAsia"/>
          <w:color w:val="auto"/>
          <w:highlight w:val="none"/>
        </w:rPr>
        <w:t>按照职能分工负责）</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10" w:name="_Toc23939"/>
      <w:r>
        <w:rPr>
          <w:rFonts w:hint="eastAsia"/>
          <w:color w:val="auto"/>
          <w:highlight w:val="none"/>
        </w:rPr>
        <w:t>（二）构建低碳安全高效的能源体系</w:t>
      </w:r>
      <w:bookmarkEnd w:id="10"/>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1.积极推进清洁能源利用</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积极规划布局、纵深推进太阳能等</w:t>
      </w:r>
      <w:r>
        <w:rPr>
          <w:rFonts w:hint="eastAsia"/>
          <w:color w:val="auto"/>
          <w:highlight w:val="none"/>
          <w:lang w:val="en-US" w:eastAsia="zh-CN"/>
        </w:rPr>
        <w:t>清洁</w:t>
      </w:r>
      <w:r>
        <w:rPr>
          <w:rFonts w:hint="eastAsia"/>
          <w:color w:val="auto"/>
          <w:highlight w:val="none"/>
        </w:rPr>
        <w:t>能源的推广利用，构建清洁低碳型能源利用和消费结构。统筹规划分布式光伏发电项目建设，持续推进以企业、家庭为单位的分布式光伏发电项目。鼓励光伏企业以合同能源管理的方式利用区内</w:t>
      </w:r>
      <w:r>
        <w:rPr>
          <w:rFonts w:hint="eastAsia"/>
          <w:color w:val="auto"/>
          <w:highlight w:val="none"/>
          <w:lang w:val="en-US" w:eastAsia="zh-CN"/>
        </w:rPr>
        <w:t>公共机关</w:t>
      </w:r>
      <w:r>
        <w:rPr>
          <w:rFonts w:hint="eastAsia"/>
          <w:color w:val="auto"/>
          <w:highlight w:val="none"/>
        </w:rPr>
        <w:t>、学校、医疗卫生中心和部分工商业厂房屋顶，开发清洁能源、实现产业转型、促进企业持续发展。因地制宜推动城乡可再生能源利用，鼓励开展农光互补等“光伏+”综合利用。到2025年，</w:t>
      </w:r>
      <w:r>
        <w:rPr>
          <w:rFonts w:hint="eastAsia"/>
          <w:color w:val="auto"/>
          <w:highlight w:val="none"/>
          <w:lang w:val="en-US" w:eastAsia="zh-CN"/>
        </w:rPr>
        <w:t>新建公共机构建筑、新建厂房屋顶光伏覆盖率力争达到50%</w:t>
      </w:r>
      <w:r>
        <w:rPr>
          <w:rFonts w:hint="eastAsia"/>
          <w:color w:val="auto"/>
          <w:highlight w:val="none"/>
        </w:rPr>
        <w:t>。（</w:t>
      </w:r>
      <w:r>
        <w:rPr>
          <w:rFonts w:hint="eastAsia"/>
          <w:color w:val="auto"/>
          <w:highlight w:val="none"/>
          <w:lang w:eastAsia="zh-CN"/>
        </w:rPr>
        <w:t>区发展和改革局</w:t>
      </w:r>
      <w:r>
        <w:rPr>
          <w:rFonts w:hint="eastAsia"/>
          <w:color w:val="auto"/>
          <w:highlight w:val="none"/>
          <w:lang w:val="en-US" w:eastAsia="zh-CN"/>
        </w:rPr>
        <w:t>牵头，</w:t>
      </w:r>
      <w:r>
        <w:rPr>
          <w:rFonts w:hint="eastAsia"/>
          <w:color w:val="auto"/>
          <w:highlight w:val="none"/>
        </w:rPr>
        <w:t>区工业和信息化局、</w:t>
      </w:r>
      <w:r>
        <w:rPr>
          <w:rFonts w:hint="eastAsia"/>
          <w:color w:val="auto"/>
          <w:highlight w:val="none"/>
          <w:lang w:eastAsia="zh-CN"/>
        </w:rPr>
        <w:t>区住房和城乡建设局</w:t>
      </w:r>
      <w:r>
        <w:rPr>
          <w:rFonts w:hint="eastAsia"/>
          <w:color w:val="auto"/>
          <w:highlight w:val="none"/>
        </w:rPr>
        <w:t>、区农业农村局、市自然资源和规划局开福区分局、市生态环境局开福分局</w:t>
      </w:r>
      <w:r>
        <w:rPr>
          <w:rFonts w:hint="eastAsia"/>
          <w:color w:val="auto"/>
          <w:highlight w:val="none"/>
          <w:lang w:val="en-US" w:eastAsia="zh-CN"/>
        </w:rPr>
        <w:t>等</w:t>
      </w:r>
      <w:r>
        <w:rPr>
          <w:rFonts w:hint="eastAsia"/>
          <w:color w:val="auto"/>
          <w:highlight w:val="none"/>
        </w:rPr>
        <w:t>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2.合理调控成品油消费</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进一步完善城乡加油站零售网点布局，加快构建与城镇发展格局和人口布局相适应，与综合运输通道和综合运输体系相衔接的成品油供应体系。逐步调整汽油消费规模，有序推进天然气、电等其他清洁能源替代油品，合理控制石油在一次能源消费中的占比，持续推动成品油质量升级，以交通领域为重点推动燃油清洁替代和能效提升，因地制宜推进生物柴油替代传统燃油，提升终端燃油产品能效。落实成品油价格市场化改革，保持石油消费处于合理区间。</w:t>
      </w:r>
      <w:r>
        <w:rPr>
          <w:rFonts w:hint="eastAsia"/>
          <w:color w:val="auto"/>
          <w:highlight w:val="none"/>
          <w:lang w:eastAsia="zh-CN"/>
        </w:rPr>
        <w:t>“</w:t>
      </w:r>
      <w:r>
        <w:rPr>
          <w:rFonts w:hint="eastAsia"/>
          <w:color w:val="auto"/>
          <w:highlight w:val="none"/>
          <w:lang w:val="en-US" w:eastAsia="zh-CN"/>
        </w:rPr>
        <w:t>十四五”期间，全区成品油消费量控制完成市级下达目标。2030年前，成品油消费基本达峰。</w:t>
      </w:r>
      <w:r>
        <w:rPr>
          <w:rFonts w:hint="eastAsia"/>
          <w:color w:val="auto"/>
          <w:highlight w:val="none"/>
        </w:rPr>
        <w:t>（区发展和改革局、区交通运输局、</w:t>
      </w:r>
      <w:r>
        <w:rPr>
          <w:rFonts w:hint="eastAsia"/>
          <w:color w:val="auto"/>
          <w:highlight w:val="none"/>
          <w:lang w:val="en-US" w:eastAsia="zh-CN"/>
        </w:rPr>
        <w:t>区商务局、</w:t>
      </w:r>
      <w:r>
        <w:rPr>
          <w:rFonts w:hint="eastAsia"/>
          <w:color w:val="auto"/>
          <w:highlight w:val="none"/>
        </w:rPr>
        <w:t>区交警大队</w:t>
      </w:r>
      <w:r>
        <w:rPr>
          <w:rFonts w:hint="eastAsia"/>
          <w:color w:val="auto"/>
          <w:highlight w:val="none"/>
          <w:lang w:val="en-US" w:eastAsia="zh-CN"/>
        </w:rPr>
        <w:t>等</w:t>
      </w:r>
      <w:r>
        <w:rPr>
          <w:rFonts w:hint="eastAsia"/>
          <w:color w:val="auto"/>
          <w:highlight w:val="none"/>
        </w:rPr>
        <w:t>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3.大力拓展天然气消费</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积极发展工业用气，在</w:t>
      </w:r>
      <w:r>
        <w:rPr>
          <w:rFonts w:hint="eastAsia"/>
          <w:color w:val="auto"/>
          <w:highlight w:val="none"/>
          <w:lang w:val="en-US" w:eastAsia="zh-CN"/>
        </w:rPr>
        <w:t>园区、公共建筑、住宅等</w:t>
      </w:r>
      <w:r>
        <w:rPr>
          <w:rFonts w:hint="eastAsia"/>
          <w:color w:val="auto"/>
          <w:highlight w:val="none"/>
        </w:rPr>
        <w:t>用热需求相对集中且增长较快的地区，积极推广天然气分布式能源项目。优先保障民生用气，大力推动生产、生活用能中天然气与多种能源融合发展，合理引导生产生活用能电气化。灵活采用管道气、压缩天然气、液化天然气等多种形式，扩展延伸供气管道，将管道气覆盖到产业集聚区、重点街道、社区（村）等用气集中区域，加速天然气向农村地区覆盖供应，提高天然气在全区的通达能力。</w:t>
      </w:r>
      <w:r>
        <w:rPr>
          <w:rFonts w:hint="eastAsia"/>
          <w:color w:val="auto"/>
          <w:highlight w:val="none"/>
          <w:lang w:val="en-US" w:eastAsia="zh-CN"/>
        </w:rPr>
        <w:t>积极推进</w:t>
      </w:r>
      <w:r>
        <w:rPr>
          <w:rFonts w:hint="eastAsia"/>
          <w:color w:val="auto"/>
          <w:highlight w:val="none"/>
        </w:rPr>
        <w:t>大安燃气站</w:t>
      </w:r>
      <w:r>
        <w:rPr>
          <w:rFonts w:hint="eastAsia"/>
          <w:color w:val="auto"/>
          <w:highlight w:val="none"/>
          <w:lang w:val="en-US" w:eastAsia="zh-CN"/>
        </w:rPr>
        <w:t>建设</w:t>
      </w:r>
      <w:r>
        <w:rPr>
          <w:rFonts w:hint="eastAsia"/>
          <w:color w:val="auto"/>
          <w:highlight w:val="none"/>
          <w:lang w:eastAsia="zh-CN"/>
        </w:rPr>
        <w:t>、</w:t>
      </w:r>
      <w:r>
        <w:rPr>
          <w:rFonts w:hint="eastAsia"/>
          <w:color w:val="auto"/>
          <w:highlight w:val="none"/>
        </w:rPr>
        <w:t>长沙港金钩寺LNG加注站投入运营。到2025年，主城区居民气化率达99%。（</w:t>
      </w:r>
      <w:r>
        <w:rPr>
          <w:rFonts w:hint="eastAsia"/>
          <w:color w:val="auto"/>
          <w:highlight w:val="none"/>
          <w:lang w:eastAsia="zh-CN"/>
        </w:rPr>
        <w:t>区城市管理和综合执法局</w:t>
      </w:r>
      <w:r>
        <w:rPr>
          <w:rFonts w:hint="eastAsia"/>
          <w:color w:val="auto"/>
          <w:highlight w:val="none"/>
          <w:lang w:val="en-US" w:eastAsia="zh-CN"/>
        </w:rPr>
        <w:t>牵头，</w:t>
      </w:r>
      <w:r>
        <w:rPr>
          <w:rFonts w:hint="eastAsia"/>
          <w:color w:val="auto"/>
          <w:highlight w:val="none"/>
        </w:rPr>
        <w:t>区发展和改革局、</w:t>
      </w:r>
      <w:r>
        <w:rPr>
          <w:rFonts w:hint="eastAsia"/>
          <w:color w:val="auto"/>
          <w:highlight w:val="none"/>
          <w:lang w:eastAsia="zh-CN"/>
        </w:rPr>
        <w:t>区住房和城乡建设局</w:t>
      </w:r>
      <w:r>
        <w:rPr>
          <w:rFonts w:hint="eastAsia"/>
          <w:color w:val="auto"/>
          <w:highlight w:val="none"/>
          <w:lang w:val="en-US" w:eastAsia="zh-CN"/>
        </w:rPr>
        <w:t>等</w:t>
      </w:r>
      <w:r>
        <w:rPr>
          <w:rFonts w:hint="eastAsia"/>
          <w:color w:val="auto"/>
          <w:highlight w:val="none"/>
        </w:rPr>
        <w:t>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4.加快构建新型电力系统</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加强区域电网互联互通，充分发挥已建输电通道作用，加快重点</w:t>
      </w:r>
      <w:r>
        <w:rPr>
          <w:rFonts w:hint="eastAsia"/>
          <w:color w:val="auto"/>
          <w:highlight w:val="none"/>
          <w:lang w:val="en-US" w:eastAsia="zh-CN"/>
        </w:rPr>
        <w:t>电网</w:t>
      </w:r>
      <w:r>
        <w:rPr>
          <w:rFonts w:hint="eastAsia"/>
          <w:color w:val="auto"/>
          <w:highlight w:val="none"/>
        </w:rPr>
        <w:t>建设，配合增强</w:t>
      </w:r>
      <w:r>
        <w:rPr>
          <w:rFonts w:hint="eastAsia"/>
          <w:color w:val="auto"/>
          <w:highlight w:val="none"/>
          <w:lang w:val="en-US" w:eastAsia="zh-CN"/>
        </w:rPr>
        <w:t>开福区</w:t>
      </w:r>
      <w:r>
        <w:rPr>
          <w:rFonts w:hint="eastAsia"/>
          <w:color w:val="auto"/>
          <w:highlight w:val="none"/>
        </w:rPr>
        <w:t>电网</w:t>
      </w:r>
      <w:r>
        <w:rPr>
          <w:rFonts w:hint="eastAsia"/>
          <w:color w:val="auto"/>
          <w:highlight w:val="none"/>
          <w:lang w:val="en-US" w:eastAsia="zh-CN"/>
        </w:rPr>
        <w:t>外受力</w:t>
      </w:r>
      <w:r>
        <w:rPr>
          <w:rFonts w:hint="eastAsia"/>
          <w:color w:val="auto"/>
          <w:highlight w:val="none"/>
        </w:rPr>
        <w:t>能力。</w:t>
      </w:r>
      <w:r>
        <w:rPr>
          <w:rFonts w:hint="eastAsia"/>
          <w:color w:val="auto"/>
          <w:highlight w:val="none"/>
          <w:lang w:val="en-US" w:eastAsia="zh-CN"/>
        </w:rPr>
        <w:t>积极参与</w:t>
      </w:r>
      <w:r>
        <w:rPr>
          <w:rFonts w:hint="eastAsia"/>
          <w:color w:val="auto"/>
          <w:highlight w:val="none"/>
        </w:rPr>
        <w:t>现代化新长沙智慧电网</w:t>
      </w:r>
      <w:r>
        <w:rPr>
          <w:rFonts w:hint="eastAsia"/>
          <w:color w:val="auto"/>
          <w:highlight w:val="none"/>
          <w:lang w:val="en-US" w:eastAsia="zh-CN"/>
        </w:rPr>
        <w:t>建设，</w:t>
      </w:r>
      <w:r>
        <w:rPr>
          <w:rFonts w:hint="eastAsia"/>
          <w:color w:val="auto"/>
          <w:highlight w:val="none"/>
        </w:rPr>
        <w:t>推进输变配电设备和网络标准化建设</w:t>
      </w:r>
      <w:r>
        <w:rPr>
          <w:rFonts w:hint="eastAsia"/>
          <w:color w:val="auto"/>
          <w:highlight w:val="none"/>
          <w:lang w:eastAsia="zh-CN"/>
        </w:rPr>
        <w:t>，</w:t>
      </w:r>
      <w:r>
        <w:rPr>
          <w:rFonts w:hint="eastAsia"/>
          <w:color w:val="auto"/>
          <w:highlight w:val="none"/>
        </w:rPr>
        <w:t>完善</w:t>
      </w:r>
      <w:r>
        <w:rPr>
          <w:rFonts w:hint="eastAsia"/>
          <w:color w:val="auto"/>
          <w:highlight w:val="none"/>
          <w:lang w:val="en-US" w:eastAsia="zh-CN"/>
        </w:rPr>
        <w:t>开福区</w:t>
      </w:r>
      <w:r>
        <w:rPr>
          <w:rFonts w:hint="eastAsia"/>
          <w:color w:val="auto"/>
          <w:highlight w:val="none"/>
        </w:rPr>
        <w:t>网架结构，</w:t>
      </w:r>
      <w:r>
        <w:rPr>
          <w:rFonts w:hint="eastAsia"/>
          <w:color w:val="auto"/>
          <w:highlight w:val="none"/>
          <w:lang w:val="en-US" w:eastAsia="zh-CN"/>
        </w:rPr>
        <w:t>提高区域</w:t>
      </w:r>
      <w:r>
        <w:rPr>
          <w:rFonts w:hint="eastAsia"/>
          <w:color w:val="auto"/>
          <w:highlight w:val="none"/>
        </w:rPr>
        <w:t>电网智能化水平、运行管理水平</w:t>
      </w:r>
      <w:r>
        <w:rPr>
          <w:rFonts w:hint="eastAsia"/>
          <w:color w:val="auto"/>
          <w:highlight w:val="none"/>
          <w:lang w:eastAsia="zh-CN"/>
        </w:rPr>
        <w:t>。推进</w:t>
      </w:r>
      <w:r>
        <w:rPr>
          <w:rFonts w:hint="default"/>
          <w:color w:val="auto"/>
          <w:highlight w:val="none"/>
          <w:lang w:val="en-US" w:eastAsia="zh-CN"/>
        </w:rPr>
        <w:t>开福区顺达220kV变电站110kV送出工程</w:t>
      </w:r>
      <w:r>
        <w:rPr>
          <w:rFonts w:hint="eastAsia"/>
          <w:color w:val="auto"/>
          <w:highlight w:val="none"/>
          <w:lang w:val="en-US" w:eastAsia="zh-CN"/>
        </w:rPr>
        <w:t>、</w:t>
      </w:r>
      <w:r>
        <w:rPr>
          <w:rFonts w:hint="default"/>
          <w:color w:val="auto"/>
          <w:highlight w:val="none"/>
          <w:lang w:val="en-US" w:eastAsia="zh-CN"/>
        </w:rPr>
        <w:t>沙坪500kV变电站改扩建工程</w:t>
      </w:r>
      <w:r>
        <w:rPr>
          <w:rFonts w:hint="eastAsia"/>
          <w:color w:val="auto"/>
          <w:highlight w:val="none"/>
          <w:lang w:val="en-US" w:eastAsia="zh-CN"/>
        </w:rPr>
        <w:t>、</w:t>
      </w:r>
      <w:r>
        <w:rPr>
          <w:rFonts w:hint="default"/>
          <w:color w:val="auto"/>
          <w:highlight w:val="none"/>
          <w:lang w:val="en-US" w:eastAsia="zh-CN"/>
        </w:rPr>
        <w:t>开福区鹅秀110kV变电站2号主变扩建工程</w:t>
      </w:r>
      <w:r>
        <w:rPr>
          <w:rFonts w:hint="eastAsia"/>
          <w:color w:val="auto"/>
          <w:highlight w:val="none"/>
          <w:lang w:eastAsia="zh-CN"/>
        </w:rPr>
        <w:t>等项目建设，打造坚强智能电网，增强各级电网相互支撑能力。引导全区工业企业、公共充电桩、商业用户、居民充电桩等资源融入，优化灵活性负荷控制，扩大需求侧响应规模。</w:t>
      </w:r>
      <w:r>
        <w:rPr>
          <w:rFonts w:hint="eastAsia"/>
          <w:color w:val="auto"/>
          <w:highlight w:val="none"/>
        </w:rPr>
        <w:t>（区发展和改革局</w:t>
      </w:r>
      <w:r>
        <w:rPr>
          <w:rFonts w:hint="eastAsia"/>
          <w:color w:val="auto"/>
          <w:highlight w:val="none"/>
          <w:lang w:val="en-US" w:eastAsia="zh-CN"/>
        </w:rPr>
        <w:t>牵头，</w:t>
      </w:r>
      <w:r>
        <w:rPr>
          <w:rFonts w:hint="eastAsia"/>
          <w:color w:val="auto"/>
          <w:highlight w:val="none"/>
        </w:rPr>
        <w:t>区工业和信息化局</w:t>
      </w:r>
      <w:r>
        <w:rPr>
          <w:rFonts w:hint="eastAsia"/>
          <w:color w:val="auto"/>
          <w:highlight w:val="none"/>
          <w:lang w:val="en-US" w:eastAsia="zh-CN"/>
        </w:rPr>
        <w:t>等</w:t>
      </w:r>
      <w:r>
        <w:rPr>
          <w:rFonts w:hint="eastAsia"/>
          <w:color w:val="auto"/>
          <w:highlight w:val="none"/>
        </w:rPr>
        <w:t>按照职能分工负责）</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11" w:name="_Toc24752"/>
      <w:r>
        <w:rPr>
          <w:rFonts w:hint="eastAsia"/>
          <w:color w:val="auto"/>
          <w:highlight w:val="none"/>
        </w:rPr>
        <w:t>（三）提高能源利用效率</w:t>
      </w:r>
      <w:bookmarkEnd w:id="11"/>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1.强化能耗双控管理</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严格落实能耗双控制度，合理控制能源消费总量，推动能耗双控逐步向碳排放双控转变。科学分解、落实长沙市下达的区级能耗双控指标。持续推动区域节能管理体系建设，强化固定资产投资项目节能审查，统筹项目用能和碳排放情况综合评价。加强重点用能单位能源消耗在线监测系统建设，强化重点用能单位节能管理和目标责任，推动高耗能企业建立能源管理中心。加快构建产业结构低碳化、生产过程清洁化、资源能源利用高效化体系。到2025年，单位GDP能耗较2020年下降1</w:t>
      </w:r>
      <w:r>
        <w:rPr>
          <w:rFonts w:hint="eastAsia"/>
          <w:color w:val="auto"/>
          <w:highlight w:val="none"/>
          <w:lang w:val="en-US" w:eastAsia="zh-CN"/>
        </w:rPr>
        <w:t>5</w:t>
      </w:r>
      <w:r>
        <w:rPr>
          <w:rFonts w:hint="eastAsia"/>
          <w:color w:val="auto"/>
          <w:highlight w:val="none"/>
        </w:rPr>
        <w:t>%。到2030年全区单位GDP能耗进一步下降。（区发展和改革局</w:t>
      </w:r>
      <w:r>
        <w:rPr>
          <w:rFonts w:hint="eastAsia"/>
          <w:color w:val="auto"/>
          <w:highlight w:val="none"/>
          <w:lang w:val="en-US" w:eastAsia="zh-CN"/>
        </w:rPr>
        <w:t>牵头，</w:t>
      </w:r>
      <w:r>
        <w:rPr>
          <w:rFonts w:hint="eastAsia"/>
          <w:color w:val="auto"/>
          <w:highlight w:val="none"/>
        </w:rPr>
        <w:t>区工业和信息化局、</w:t>
      </w:r>
      <w:r>
        <w:rPr>
          <w:rFonts w:hint="eastAsia"/>
          <w:color w:val="auto"/>
          <w:highlight w:val="none"/>
          <w:lang w:eastAsia="zh-CN"/>
        </w:rPr>
        <w:t>区住房和城乡建设局</w:t>
      </w:r>
      <w:r>
        <w:rPr>
          <w:rFonts w:hint="eastAsia"/>
          <w:color w:val="auto"/>
          <w:highlight w:val="none"/>
        </w:rPr>
        <w:t>、区交通运输局</w:t>
      </w:r>
      <w:r>
        <w:rPr>
          <w:rFonts w:hint="eastAsia"/>
          <w:color w:val="auto"/>
          <w:highlight w:val="none"/>
          <w:lang w:val="en-US" w:eastAsia="zh-CN"/>
        </w:rPr>
        <w:t>等</w:t>
      </w:r>
      <w:r>
        <w:rPr>
          <w:rFonts w:hint="eastAsia"/>
          <w:color w:val="auto"/>
          <w:highlight w:val="none"/>
        </w:rPr>
        <w:t>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2.强化新型基础设施节能</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优化新型基础设施空间布局，科学谋划数据中心等新型基础设施建设，切实避免低水平重复建设。优化新型基础设施用能结构，推广分布式储能、“光伏+储能”等多样化能源供应模式。提升通讯、运算、存储、传输等设备能效水平，加快淘汰落后设备和技术。积极推广使用高效制冷、先进通风、余热利用、智能化用能控制等绿色技术，推动现有设施绿色低碳升级改造。有序推动存量数据中心实施节能改造升级，逐步提高数据中心能效标准，引导数据中心走高效、低碳、集约、循环的绿色发展道路。到2025年，新建大型数据中心PUE值低于1.3，到2030年PUE值进一步优化。（区发展和改革局</w:t>
      </w:r>
      <w:r>
        <w:rPr>
          <w:rFonts w:hint="eastAsia"/>
          <w:color w:val="auto"/>
          <w:highlight w:val="none"/>
          <w:lang w:val="en-US" w:eastAsia="zh-CN"/>
        </w:rPr>
        <w:t>牵头，</w:t>
      </w:r>
      <w:r>
        <w:rPr>
          <w:rFonts w:hint="eastAsia"/>
          <w:color w:val="auto"/>
          <w:highlight w:val="none"/>
          <w:lang w:eastAsia="zh-CN"/>
        </w:rPr>
        <w:t>区科学技术局</w:t>
      </w:r>
      <w:r>
        <w:rPr>
          <w:rFonts w:hint="eastAsia"/>
          <w:color w:val="auto"/>
          <w:highlight w:val="none"/>
        </w:rPr>
        <w:t>、区工业和信息化局、</w:t>
      </w:r>
      <w:r>
        <w:rPr>
          <w:rFonts w:hint="eastAsia"/>
          <w:color w:val="auto"/>
          <w:highlight w:val="none"/>
          <w:lang w:eastAsia="zh-CN"/>
        </w:rPr>
        <w:t>区市场监督管理局</w:t>
      </w:r>
      <w:r>
        <w:rPr>
          <w:rFonts w:hint="eastAsia"/>
          <w:color w:val="auto"/>
          <w:highlight w:val="none"/>
        </w:rPr>
        <w:t>、区数据资源中心</w:t>
      </w:r>
      <w:r>
        <w:rPr>
          <w:rFonts w:hint="eastAsia"/>
          <w:color w:val="auto"/>
          <w:highlight w:val="none"/>
          <w:lang w:val="en-US" w:eastAsia="zh-CN"/>
        </w:rPr>
        <w:t>等</w:t>
      </w:r>
      <w:r>
        <w:rPr>
          <w:rFonts w:hint="eastAsia"/>
          <w:color w:val="auto"/>
          <w:highlight w:val="none"/>
        </w:rPr>
        <w:t>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3.坚决遏制高能耗高排放低水平项目盲目发展</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强化高耗能高排放项目常态化监管，实行高耗能高排放项目清单管理、分类处置、动态监控。深入挖掘存量高耗能高排放项目节能潜力，加大节能改造和落后产能淘汰力度。全面排查在建项目，推动在建项目能效水平应提尽提。科学评估拟建项目，严格高耗能高排放项目准入管理。对于新建、扩建高耗能高排放项目应严格落实国家产能置换政策</w:t>
      </w:r>
      <w:r>
        <w:rPr>
          <w:rFonts w:hint="eastAsia"/>
          <w:color w:val="auto"/>
          <w:highlight w:val="none"/>
          <w:lang w:eastAsia="zh-CN"/>
        </w:rPr>
        <w:t>，</w:t>
      </w:r>
      <w:r>
        <w:rPr>
          <w:rFonts w:hint="eastAsia"/>
          <w:color w:val="auto"/>
          <w:highlight w:val="none"/>
        </w:rPr>
        <w:t>推进绿色技术在能耗量较大新兴产业中的应用，提高能效水平。（区发展和改革局</w:t>
      </w:r>
      <w:r>
        <w:rPr>
          <w:rFonts w:hint="eastAsia"/>
          <w:color w:val="auto"/>
          <w:highlight w:val="none"/>
          <w:lang w:val="en-US" w:eastAsia="zh-CN"/>
        </w:rPr>
        <w:t>牵头，</w:t>
      </w:r>
      <w:r>
        <w:rPr>
          <w:rFonts w:hint="eastAsia"/>
          <w:color w:val="auto"/>
          <w:highlight w:val="none"/>
        </w:rPr>
        <w:t>马栏山(长沙)视频文创管理委员会</w:t>
      </w:r>
      <w:r>
        <w:rPr>
          <w:rFonts w:hint="eastAsia"/>
          <w:color w:val="auto"/>
          <w:highlight w:val="none"/>
          <w:lang w:eastAsia="zh-CN"/>
        </w:rPr>
        <w:t>、长沙金霞经济开发区</w:t>
      </w:r>
      <w:r>
        <w:rPr>
          <w:rFonts w:hint="eastAsia"/>
          <w:color w:val="auto"/>
          <w:highlight w:val="none"/>
          <w:lang w:val="en-US" w:eastAsia="zh-CN"/>
        </w:rPr>
        <w:t>管理委员会、</w:t>
      </w:r>
      <w:r>
        <w:rPr>
          <w:rFonts w:hint="eastAsia"/>
          <w:color w:val="auto"/>
          <w:highlight w:val="none"/>
        </w:rPr>
        <w:t>区工业和信息化局、市生态环境局开福分局</w:t>
      </w:r>
      <w:r>
        <w:rPr>
          <w:rFonts w:hint="eastAsia"/>
          <w:color w:val="auto"/>
          <w:highlight w:val="none"/>
          <w:lang w:val="en-US" w:eastAsia="zh-CN"/>
        </w:rPr>
        <w:t>等</w:t>
      </w:r>
      <w:r>
        <w:rPr>
          <w:rFonts w:hint="eastAsia"/>
          <w:color w:val="auto"/>
          <w:highlight w:val="none"/>
        </w:rPr>
        <w:t>按照职能分工负责）</w:t>
      </w:r>
    </w:p>
    <w:p>
      <w:pPr>
        <w:pStyle w:val="5"/>
        <w:keepNext/>
        <w:keepLines/>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12" w:name="_Toc24908"/>
      <w:r>
        <w:rPr>
          <w:rFonts w:hint="eastAsia"/>
          <w:color w:val="auto"/>
          <w:highlight w:val="none"/>
        </w:rPr>
        <w:t>（四）提高低碳集约建设水平</w:t>
      </w:r>
      <w:bookmarkEnd w:id="12"/>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1.积极发展绿色建筑</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持续提高新建建筑节能标准，大力推进超低能耗、近零能耗、低碳建筑规模化发展。将装配式建筑作为促进绿色建筑发展的重要抓手，搭建绿色建筑与装配式建筑技术服务平台，推动装配式建筑在政府投资的公共建筑项目、旧城改造项目、棚户区改造项目和城市综合管廊项目中的应用。建筑面积3000m</w:t>
      </w:r>
      <w:r>
        <w:rPr>
          <w:rFonts w:hint="eastAsia"/>
          <w:color w:val="auto"/>
          <w:highlight w:val="none"/>
          <w:vertAlign w:val="superscript"/>
        </w:rPr>
        <w:t>2</w:t>
      </w:r>
      <w:r>
        <w:rPr>
          <w:rFonts w:hint="eastAsia"/>
          <w:color w:val="auto"/>
          <w:highlight w:val="none"/>
        </w:rPr>
        <w:t>以上的政府投资或以政府投资为主的公共建筑以及其他建筑面积20000m</w:t>
      </w:r>
      <w:r>
        <w:rPr>
          <w:rFonts w:hint="eastAsia"/>
          <w:color w:val="auto"/>
          <w:highlight w:val="none"/>
          <w:vertAlign w:val="superscript"/>
        </w:rPr>
        <w:t>2</w:t>
      </w:r>
      <w:r>
        <w:rPr>
          <w:rFonts w:hint="eastAsia"/>
          <w:color w:val="auto"/>
          <w:highlight w:val="none"/>
        </w:rPr>
        <w:t>以上的公共建筑，应采用装配式建筑或其他绿色建造方式，并按照一星级以上标准建设。新建建筑装配率按不低于50%的要求进行建设，到2025年，城镇新建建筑100%执行绿色建筑标准。到2030年，建筑节能达到75%以上，建筑能源利用效率达到先进水平。（</w:t>
      </w:r>
      <w:r>
        <w:rPr>
          <w:rFonts w:hint="eastAsia"/>
          <w:color w:val="auto"/>
          <w:highlight w:val="none"/>
          <w:lang w:eastAsia="zh-CN"/>
        </w:rPr>
        <w:t>区住房和城乡建设局</w:t>
      </w:r>
      <w:r>
        <w:rPr>
          <w:rFonts w:hint="eastAsia"/>
          <w:color w:val="auto"/>
          <w:highlight w:val="none"/>
          <w:lang w:val="en-US" w:eastAsia="zh-CN"/>
        </w:rPr>
        <w:t>牵头，</w:t>
      </w:r>
      <w:r>
        <w:rPr>
          <w:rFonts w:hint="eastAsia"/>
          <w:color w:val="auto"/>
          <w:highlight w:val="none"/>
          <w:lang w:eastAsia="zh-CN"/>
        </w:rPr>
        <w:t>区科学技术局</w:t>
      </w:r>
      <w:r>
        <w:rPr>
          <w:rFonts w:hint="eastAsia"/>
          <w:color w:val="auto"/>
          <w:highlight w:val="none"/>
        </w:rPr>
        <w:t>、市自然资源和规划局开福区分局</w:t>
      </w:r>
      <w:r>
        <w:rPr>
          <w:rFonts w:hint="eastAsia"/>
          <w:color w:val="auto"/>
          <w:highlight w:val="none"/>
          <w:lang w:val="en-US" w:eastAsia="zh-CN"/>
        </w:rPr>
        <w:t>等</w:t>
      </w:r>
      <w:r>
        <w:rPr>
          <w:rFonts w:hint="eastAsia"/>
          <w:color w:val="auto"/>
          <w:highlight w:val="none"/>
        </w:rPr>
        <w:t>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2.引导绿色低碳建造方式</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发展装配式建筑，新建建筑全面推行装配式技术应用。鼓励在工业建筑、医院、学校等公共建筑采用钢结构，积极探索钢结构技术体系在住宅和农房等项目中的应用。推进绿色建造方式。推广绿色设计，采用BIM等数字化技术进行全过程协同设计。推行绿色施工，综合应用绿色施工技术，积极推广节能型施工设备，使大型建设项目全面达到国家规定的绿色施工低碳排放评价优良标准。积极推广装配化装修技术，实现部品部件可拆改、可循环使用。推广绿色建材应用。推动在医院、学校、保障性住房等政府投资或使用财政资金的建设项目中率先按高比例标准采用获得认证的绿色建材产品。（</w:t>
      </w:r>
      <w:r>
        <w:rPr>
          <w:rFonts w:hint="eastAsia"/>
          <w:color w:val="auto"/>
          <w:highlight w:val="none"/>
          <w:lang w:eastAsia="zh-CN"/>
        </w:rPr>
        <w:t>区住房和城乡建设局</w:t>
      </w:r>
      <w:r>
        <w:rPr>
          <w:rFonts w:hint="eastAsia"/>
          <w:color w:val="auto"/>
          <w:highlight w:val="none"/>
          <w:lang w:val="en-US" w:eastAsia="zh-CN"/>
        </w:rPr>
        <w:t>牵头，</w:t>
      </w:r>
      <w:r>
        <w:rPr>
          <w:rFonts w:hint="eastAsia"/>
          <w:color w:val="auto"/>
          <w:highlight w:val="none"/>
        </w:rPr>
        <w:t>区发展和改革局、区工业和信息化局</w:t>
      </w:r>
      <w:r>
        <w:rPr>
          <w:rFonts w:hint="eastAsia"/>
          <w:color w:val="auto"/>
          <w:highlight w:val="none"/>
          <w:lang w:eastAsia="zh-CN"/>
        </w:rPr>
        <w:t>、市自然资源和规划局开福区分局</w:t>
      </w:r>
      <w:r>
        <w:rPr>
          <w:rFonts w:hint="eastAsia"/>
          <w:color w:val="auto"/>
          <w:highlight w:val="none"/>
          <w:lang w:val="en-US" w:eastAsia="zh-CN"/>
        </w:rPr>
        <w:t>等</w:t>
      </w:r>
      <w:r>
        <w:rPr>
          <w:rFonts w:hint="eastAsia"/>
          <w:color w:val="auto"/>
          <w:highlight w:val="none"/>
        </w:rPr>
        <w:t>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3.推进建筑用能结构优化</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提高建筑终端电气化水平，加快建设集光伏发电、储能、直流配电、柔性用电为一体的“光储直柔”建筑。引导建筑电气化。建立以电力消费为主的建筑能源消费体系，引导建筑供暖、生活热水、炊事等向电气化发展，降低建筑直接碳排放。在城市大型商场、办公楼、酒店等推广应用热泵、电蓄冷空调，推动新建公共建筑全电气化。深化可再生能源建筑应用，推广光伏发电与建筑一体化应用。因地制宜推行浅层地</w:t>
      </w:r>
      <w:r>
        <w:rPr>
          <w:rFonts w:hint="eastAsia"/>
          <w:color w:val="auto"/>
          <w:highlight w:val="none"/>
          <w:lang w:val="en-US" w:eastAsia="zh-CN"/>
        </w:rPr>
        <w:t>热</w:t>
      </w:r>
      <w:r>
        <w:rPr>
          <w:rFonts w:hint="eastAsia"/>
          <w:color w:val="auto"/>
          <w:highlight w:val="none"/>
        </w:rPr>
        <w:t>能、燃气、生物质能、太阳能等高效清洁低碳供暖。充分利用工业建筑、仓储物流园、公共建筑、民用建筑屋顶等资源实施分布式光伏发电工程。提高建筑终端电气化水平，探索建设光伏柔性直流用电建筑。鼓励发展分户式高效取暖，逐步提高采暖、生活热水等电气化水平。（</w:t>
      </w:r>
      <w:r>
        <w:rPr>
          <w:rFonts w:hint="eastAsia"/>
          <w:color w:val="auto"/>
          <w:highlight w:val="none"/>
          <w:lang w:eastAsia="zh-CN"/>
        </w:rPr>
        <w:t>区住房和城乡建设局</w:t>
      </w:r>
      <w:r>
        <w:rPr>
          <w:rFonts w:hint="eastAsia"/>
          <w:color w:val="auto"/>
          <w:highlight w:val="none"/>
          <w:lang w:val="en-US" w:eastAsia="zh-CN"/>
        </w:rPr>
        <w:t>牵头，</w:t>
      </w:r>
      <w:r>
        <w:rPr>
          <w:rFonts w:hint="eastAsia"/>
          <w:color w:val="auto"/>
          <w:highlight w:val="none"/>
        </w:rPr>
        <w:t>马栏山(长沙)视频文创管理委员会</w:t>
      </w:r>
      <w:r>
        <w:rPr>
          <w:rFonts w:hint="eastAsia"/>
          <w:color w:val="auto"/>
          <w:highlight w:val="none"/>
          <w:lang w:eastAsia="zh-CN"/>
        </w:rPr>
        <w:t>、</w:t>
      </w:r>
      <w:r>
        <w:rPr>
          <w:rFonts w:hint="eastAsia"/>
          <w:color w:val="auto"/>
          <w:highlight w:val="none"/>
          <w:lang w:val="en-US" w:eastAsia="zh-CN"/>
        </w:rPr>
        <w:t>长沙金霞经济开发区管理委员会、</w:t>
      </w:r>
      <w:r>
        <w:rPr>
          <w:rFonts w:hint="eastAsia"/>
          <w:color w:val="auto"/>
          <w:highlight w:val="none"/>
        </w:rPr>
        <w:t>区发展和改革局、</w:t>
      </w:r>
      <w:r>
        <w:rPr>
          <w:rFonts w:hint="eastAsia"/>
          <w:color w:val="auto"/>
          <w:highlight w:val="none"/>
          <w:lang w:eastAsia="zh-CN"/>
        </w:rPr>
        <w:t>区科学技术局</w:t>
      </w:r>
      <w:r>
        <w:rPr>
          <w:rFonts w:hint="eastAsia"/>
          <w:color w:val="auto"/>
          <w:highlight w:val="none"/>
        </w:rPr>
        <w:t>等按职责分工负责）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4.推进农村建设和用能低碳转型</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推进绿色农房建设，推动新建农房执行节能设计标准，加快农房节能改造，大力推广农村光伏应用。引导农村不断减少传统能源使用，鼓励使用清洁能源。推动绿色低碳乡村建设。推动农房和农村公共建筑执行节能设计标准，推广适宜节能技术，探索建立超低能耗农房试点示范项目，提升农村建筑能源利用效率，改善室内环境。加快生物质能、太阳能等可再生能源在农业生产和农村生活中的应用。推广节能环保灶具、电动农用车辆、节能环保农机。加强农村电网建设，提升农村用能电气化水平。完善农村生活污水、生活垃圾处理体系，提升人居环境。依托省级美丽乡村汉回村、市级美丽乡村檀木岭村、钟山村、特色小镇沙坪绣坊街以及正在创建的市级乡村振兴示范村竹安村等，深入实施美丽乡村建设，打造一批美丽低碳乡村示范点和乡村振兴典范。（</w:t>
      </w:r>
      <w:r>
        <w:rPr>
          <w:rFonts w:hint="eastAsia"/>
          <w:color w:val="auto"/>
          <w:highlight w:val="none"/>
          <w:lang w:val="en-US" w:eastAsia="zh-CN"/>
        </w:rPr>
        <w:t>区发展和改革局</w:t>
      </w:r>
      <w:r>
        <w:rPr>
          <w:rFonts w:hint="eastAsia"/>
          <w:color w:val="auto"/>
          <w:highlight w:val="none"/>
          <w:lang w:eastAsia="zh-CN"/>
        </w:rPr>
        <w:t>、区住房和城乡建设局</w:t>
      </w:r>
      <w:r>
        <w:rPr>
          <w:rFonts w:hint="eastAsia"/>
          <w:color w:val="auto"/>
          <w:highlight w:val="none"/>
        </w:rPr>
        <w:t>、区农业农村局、</w:t>
      </w:r>
      <w:r>
        <w:rPr>
          <w:rFonts w:hint="eastAsia"/>
          <w:color w:val="auto"/>
          <w:highlight w:val="none"/>
          <w:lang w:val="en-US" w:eastAsia="zh-CN"/>
        </w:rPr>
        <w:t>各街道、社区（村）</w:t>
      </w:r>
      <w:r>
        <w:rPr>
          <w:rFonts w:hint="eastAsia"/>
          <w:color w:val="auto"/>
          <w:highlight w:val="none"/>
        </w:rPr>
        <w:t>等按照职能分工负责）</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13" w:name="_Toc27451"/>
      <w:r>
        <w:rPr>
          <w:rFonts w:hint="eastAsia"/>
          <w:color w:val="auto"/>
          <w:highlight w:val="none"/>
        </w:rPr>
        <w:t>（五）形成绿色低碳交通方式</w:t>
      </w:r>
      <w:bookmarkEnd w:id="13"/>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1.加快绿色交通基础设施建设</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坚持将绿色节能理念贯穿到交通规划、设计、建设、运营、管理、养护全过程，降低全生命周期能耗和碳排放。开展交通基础设施绿色化提升改造，完善充换电、配套电网、加气站、港口等基础设施建设</w:t>
      </w:r>
      <w:r>
        <w:rPr>
          <w:rFonts w:hint="eastAsia"/>
          <w:color w:val="auto"/>
          <w:highlight w:val="none"/>
          <w:lang w:eastAsia="zh-CN"/>
        </w:rPr>
        <w:t>，鼓励港口船舶、运输车辆使用岸电、天然气，重点推动霞凝港靠港船舶使用岸电、船舶配电接入改造、卸装运输车辆电动化</w:t>
      </w:r>
      <w:r>
        <w:rPr>
          <w:rFonts w:hint="eastAsia"/>
          <w:color w:val="auto"/>
          <w:highlight w:val="none"/>
        </w:rPr>
        <w:t>。加快建设城乡公共充电网络，完善住宅小区居民自用充电设施。加快推进公交</w:t>
      </w:r>
      <w:r>
        <w:rPr>
          <w:rFonts w:hint="eastAsia"/>
          <w:color w:val="auto"/>
          <w:highlight w:val="none"/>
          <w:lang w:val="en-US" w:eastAsia="zh-CN"/>
        </w:rPr>
        <w:t>车站台</w:t>
      </w:r>
      <w:r>
        <w:rPr>
          <w:rFonts w:hint="eastAsia"/>
          <w:color w:val="auto"/>
          <w:highlight w:val="none"/>
        </w:rPr>
        <w:t>、停车场、客货枢纽等区域充换电、加气站建设。大力推进智能交通建设，提高信息化建设水平，提升交通管理效率。到2025年，重要公共设施和场所充电桩普及率达100%，到2030年，绿色出行比例力争达到75%。（区交通运输局</w:t>
      </w:r>
      <w:r>
        <w:rPr>
          <w:rFonts w:hint="eastAsia"/>
          <w:color w:val="auto"/>
          <w:highlight w:val="none"/>
          <w:lang w:val="en-US" w:eastAsia="zh-CN"/>
        </w:rPr>
        <w:t>牵头，</w:t>
      </w:r>
      <w:r>
        <w:rPr>
          <w:rFonts w:hint="eastAsia"/>
          <w:color w:val="auto"/>
          <w:highlight w:val="none"/>
        </w:rPr>
        <w:t>区发展和改革局、</w:t>
      </w:r>
      <w:r>
        <w:rPr>
          <w:rFonts w:hint="eastAsia"/>
          <w:color w:val="auto"/>
          <w:highlight w:val="none"/>
          <w:lang w:eastAsia="zh-CN"/>
        </w:rPr>
        <w:t>区住房和城乡建设局</w:t>
      </w:r>
      <w:r>
        <w:rPr>
          <w:rFonts w:hint="eastAsia"/>
          <w:color w:val="auto"/>
          <w:highlight w:val="none"/>
        </w:rPr>
        <w:t>等按照职能分工负责）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2.构建低碳高效交通运输体系</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利用金霞物流口岸优势、跨境电商平台带动长株潭城市群整体对外开放水平，</w:t>
      </w:r>
      <w:r>
        <w:rPr>
          <w:rFonts w:hint="eastAsia"/>
          <w:color w:val="auto"/>
          <w:highlight w:val="none"/>
          <w:lang w:val="en-US" w:eastAsia="zh-CN"/>
        </w:rPr>
        <w:t>加快推进智慧港口、绿色港口、枢纽港口建设，</w:t>
      </w:r>
      <w:r>
        <w:rPr>
          <w:rFonts w:hint="eastAsia"/>
          <w:color w:val="auto"/>
          <w:highlight w:val="none"/>
        </w:rPr>
        <w:t>将长沙港</w:t>
      </w:r>
      <w:r>
        <w:rPr>
          <w:rFonts w:hint="eastAsia"/>
          <w:color w:val="auto"/>
          <w:highlight w:val="none"/>
          <w:lang w:val="en-US" w:eastAsia="zh-CN"/>
        </w:rPr>
        <w:t>霞凝港区</w:t>
      </w:r>
      <w:r>
        <w:rPr>
          <w:rFonts w:hint="eastAsia"/>
          <w:color w:val="auto"/>
          <w:highlight w:val="none"/>
        </w:rPr>
        <w:t>打造成为专业化运输核心港区和全国内河主枢纽港口，构建通江达海的现代化内河水运系统。大力推进互联网+便捷交通、互联网+高效物流发展，加大支持区域智慧交通体系建设，加快培育壮大交通运输新业态、新模式。加快多式联运和综合货运枢纽集疏运体系发展，充分利用物联网先进信息技术，不断提高多式联运货物转运的自动化作业水平。构建区域联通、板块联动的城区路网体系，完善农村路网结构。依托区位和交通优势，搭建现代化物流和公共信息平台，逐步构建与国内外接轨的现代物流网络体系，推动绿色货运模式、绿色货运技术和高效节能设备在物流领域的应用，提高物流行业能效，降低碳排放水平。（区交通运输局</w:t>
      </w:r>
      <w:r>
        <w:rPr>
          <w:rFonts w:hint="eastAsia"/>
          <w:color w:val="auto"/>
          <w:highlight w:val="none"/>
          <w:lang w:val="en-US" w:eastAsia="zh-CN"/>
        </w:rPr>
        <w:t>牵头，</w:t>
      </w:r>
      <w:r>
        <w:rPr>
          <w:rFonts w:hint="eastAsia"/>
          <w:color w:val="auto"/>
          <w:highlight w:val="none"/>
        </w:rPr>
        <w:t>区发展和改革局、区工业和信息化局等按照职能分工负责）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3.推广清洁交通运输工具</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推广应用新能源汽车，逐步降低传统燃油车在新车产销和汽车保有量中的比例。持续推进城市公共服务车辆电动化及新能源替代。严格执行交通运输行业营运车船能耗和排放限制标准</w:t>
      </w:r>
      <w:r>
        <w:rPr>
          <w:rFonts w:hint="eastAsia"/>
          <w:color w:val="auto"/>
          <w:highlight w:val="none"/>
          <w:lang w:eastAsia="zh-CN"/>
        </w:rPr>
        <w:t>，</w:t>
      </w:r>
      <w:r>
        <w:rPr>
          <w:rFonts w:hint="eastAsia"/>
          <w:color w:val="auto"/>
          <w:highlight w:val="none"/>
        </w:rPr>
        <w:t>提高燃油车船能效标准，健全交通运输装备能效标识制度，加快淘汰高耗能高排放老旧车船。到2025年，新增纯电动公交车比例100%，实现纯电动公交车比例达到75%以上，新能源和清洁能源车辆比例达到100%。网约车、公共机构用车力争实现全面电动化。（区交通运输局</w:t>
      </w:r>
      <w:r>
        <w:rPr>
          <w:rFonts w:hint="eastAsia"/>
          <w:color w:val="auto"/>
          <w:highlight w:val="none"/>
          <w:lang w:val="en-US" w:eastAsia="zh-CN"/>
        </w:rPr>
        <w:t>牵头，</w:t>
      </w:r>
      <w:r>
        <w:rPr>
          <w:rFonts w:hint="eastAsia"/>
          <w:color w:val="auto"/>
          <w:highlight w:val="none"/>
        </w:rPr>
        <w:t>区发展和改革局、</w:t>
      </w:r>
      <w:r>
        <w:rPr>
          <w:rFonts w:hint="eastAsia"/>
          <w:color w:val="auto"/>
          <w:highlight w:val="none"/>
          <w:lang w:eastAsia="zh-CN"/>
        </w:rPr>
        <w:t>区科学技术局</w:t>
      </w:r>
      <w:r>
        <w:rPr>
          <w:rFonts w:hint="eastAsia"/>
          <w:color w:val="auto"/>
          <w:highlight w:val="none"/>
        </w:rPr>
        <w:t>、区工业和信息化局、</w:t>
      </w:r>
      <w:r>
        <w:rPr>
          <w:rFonts w:hint="eastAsia"/>
          <w:color w:val="auto"/>
          <w:highlight w:val="none"/>
          <w:lang w:eastAsia="zh-CN"/>
        </w:rPr>
        <w:t>区市场监督管理局</w:t>
      </w:r>
      <w:r>
        <w:rPr>
          <w:rFonts w:hint="eastAsia"/>
          <w:color w:val="auto"/>
          <w:highlight w:val="none"/>
        </w:rPr>
        <w:t>等按照职能分工负责）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4.推动智慧交通全面发展</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以长沙创建全国新型智慧城市示范市为契机，加快现代信息技术在交通运输领域的研发应用，逐步实现智能化、数字化管理，促进客货运输市场的电子化、网络化，实现客货信息共享，提高运输效率，降低能耗。加强综合交通运输枢纽建设，加快运输结构调整，优化运输组织模式，大力开展多式联运、甩挂运输等高效运输方式，推进各种运输方式无缝衔接。推动轨道交通、智慧公交建设。发展智慧物流和智慧电商，完善物流基础设施网。加快物流综合信息平台建设，推动物流设施及信息共享，构建现代化物流配送体系。（区交通运输局</w:t>
      </w:r>
      <w:r>
        <w:rPr>
          <w:rFonts w:hint="eastAsia"/>
          <w:color w:val="auto"/>
          <w:highlight w:val="none"/>
          <w:lang w:val="en-US" w:eastAsia="zh-CN"/>
        </w:rPr>
        <w:t>牵头，</w:t>
      </w:r>
      <w:r>
        <w:rPr>
          <w:rFonts w:hint="eastAsia"/>
          <w:color w:val="auto"/>
          <w:highlight w:val="none"/>
          <w:lang w:eastAsia="zh-CN"/>
        </w:rPr>
        <w:t>长沙金霞经济开发区管理委员会、</w:t>
      </w:r>
      <w:r>
        <w:rPr>
          <w:rFonts w:hint="eastAsia"/>
          <w:color w:val="auto"/>
          <w:highlight w:val="none"/>
        </w:rPr>
        <w:t>区数据资源中心等按照职能分工负责）</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14" w:name="_Toc27544"/>
      <w:r>
        <w:rPr>
          <w:rFonts w:hint="eastAsia"/>
          <w:color w:val="auto"/>
          <w:highlight w:val="none"/>
        </w:rPr>
        <w:t>（六）提升生态固碳增汇能力</w:t>
      </w:r>
      <w:bookmarkEnd w:id="14"/>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1.巩固提升林业生态系统碳汇</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加强国土空间规划和用途管控，严守生态保护红线，严控生态空间占用，严格控制林地转为建设用地。建立完善的林长制工作体系和森林资源保护发展制度，实现森林资源“保存量、扩增量、提质量”。加快构建以青竹湖森林公园为主体的自然保护地体系，建立统一规范高效的自然保护地管理体制。开展一体化、系统化的科学绿化行动，实施国土绿化试点示范项目，提升森林质量和生态功能。开展林业生态系统碳汇提升行动，着力提高生态系统碳汇能力。</w:t>
      </w:r>
      <w:r>
        <w:rPr>
          <w:rFonts w:hint="eastAsia" w:ascii="仿宋_GB2312" w:hAnsi="仿宋_GB2312" w:cstheme="minorBidi"/>
          <w:color w:val="auto"/>
          <w:szCs w:val="32"/>
          <w:highlight w:val="none"/>
          <w:lang w:val="en-US" w:eastAsia="zh-CN"/>
        </w:rPr>
        <w:t>2020年，开福区</w:t>
      </w:r>
      <w:r>
        <w:rPr>
          <w:rFonts w:hint="eastAsia" w:ascii="仿宋_GB2312" w:hAnsi="仿宋_GB2312" w:cstheme="minorBidi"/>
          <w:color w:val="auto"/>
          <w:szCs w:val="32"/>
          <w:highlight w:val="none"/>
        </w:rPr>
        <w:t>森林覆盖率</w:t>
      </w:r>
      <w:r>
        <w:rPr>
          <w:rFonts w:hint="eastAsia" w:ascii="仿宋_GB2312" w:hAnsi="仿宋_GB2312" w:cstheme="minorBidi"/>
          <w:color w:val="auto"/>
          <w:szCs w:val="32"/>
          <w:highlight w:val="none"/>
          <w:lang w:val="en-US" w:eastAsia="zh-CN"/>
        </w:rPr>
        <w:t>为15.38%。</w:t>
      </w:r>
      <w:r>
        <w:rPr>
          <w:rFonts w:hint="eastAsia" w:ascii="仿宋_GB2312" w:hAnsi="仿宋_GB2312" w:cstheme="minorBidi"/>
          <w:color w:val="auto"/>
          <w:szCs w:val="32"/>
          <w:highlight w:val="none"/>
        </w:rPr>
        <w:t>到2025年，森林覆盖率</w:t>
      </w:r>
      <w:r>
        <w:rPr>
          <w:rFonts w:hint="eastAsia" w:ascii="仿宋_GB2312" w:hAnsi="仿宋_GB2312" w:cstheme="minorBidi"/>
          <w:color w:val="auto"/>
          <w:szCs w:val="32"/>
          <w:highlight w:val="none"/>
          <w:lang w:val="en-US" w:eastAsia="zh-CN"/>
        </w:rPr>
        <w:t>稳定在15.38</w:t>
      </w:r>
      <w:r>
        <w:rPr>
          <w:rFonts w:hint="eastAsia" w:ascii="仿宋_GB2312" w:hAnsi="仿宋_GB2312" w:cstheme="minorBidi"/>
          <w:color w:val="auto"/>
          <w:szCs w:val="32"/>
          <w:highlight w:val="none"/>
        </w:rPr>
        <w:t>%</w:t>
      </w:r>
      <w:r>
        <w:rPr>
          <w:rFonts w:hint="eastAsia" w:ascii="仿宋_GB2312" w:hAnsi="仿宋_GB2312" w:cstheme="minorBidi"/>
          <w:color w:val="auto"/>
          <w:szCs w:val="32"/>
          <w:highlight w:val="none"/>
          <w:lang w:val="en-US" w:eastAsia="zh-CN"/>
        </w:rPr>
        <w:t>左右</w:t>
      </w:r>
      <w:r>
        <w:rPr>
          <w:rFonts w:hint="eastAsia" w:ascii="仿宋_GB2312" w:hAnsi="仿宋_GB2312" w:cstheme="minorBidi"/>
          <w:color w:val="auto"/>
          <w:szCs w:val="32"/>
          <w:highlight w:val="none"/>
        </w:rPr>
        <w:t>；到2030年，森林覆盖</w:t>
      </w:r>
      <w:r>
        <w:rPr>
          <w:rFonts w:hint="eastAsia" w:ascii="仿宋_GB2312" w:hAnsi="仿宋_GB2312" w:cstheme="minorBidi"/>
          <w:color w:val="auto"/>
          <w:szCs w:val="32"/>
          <w:highlight w:val="none"/>
          <w:lang w:eastAsia="zh-CN"/>
        </w:rPr>
        <w:t>率</w:t>
      </w:r>
      <w:r>
        <w:rPr>
          <w:rFonts w:hint="eastAsia" w:ascii="仿宋_GB2312" w:hAnsi="仿宋_GB2312" w:cstheme="minorBidi"/>
          <w:color w:val="auto"/>
          <w:szCs w:val="32"/>
          <w:highlight w:val="none"/>
          <w:lang w:val="en-US" w:eastAsia="zh-CN"/>
        </w:rPr>
        <w:t>稳定在15.38</w:t>
      </w:r>
      <w:r>
        <w:rPr>
          <w:rFonts w:hint="eastAsia" w:ascii="仿宋_GB2312" w:hAnsi="仿宋_GB2312" w:cstheme="minorBidi"/>
          <w:color w:val="auto"/>
          <w:szCs w:val="32"/>
          <w:highlight w:val="none"/>
        </w:rPr>
        <w:t>%</w:t>
      </w:r>
      <w:r>
        <w:rPr>
          <w:rFonts w:hint="eastAsia" w:ascii="仿宋_GB2312" w:hAnsi="仿宋_GB2312" w:cstheme="minorBidi"/>
          <w:color w:val="auto"/>
          <w:szCs w:val="32"/>
          <w:highlight w:val="none"/>
          <w:lang w:val="en-US" w:eastAsia="zh-CN"/>
        </w:rPr>
        <w:t>左右</w:t>
      </w:r>
      <w:r>
        <w:rPr>
          <w:rFonts w:hint="eastAsia" w:ascii="仿宋_GB2312" w:hAnsi="仿宋_GB2312" w:cstheme="minorBidi"/>
          <w:color w:val="auto"/>
          <w:szCs w:val="32"/>
          <w:highlight w:val="none"/>
        </w:rPr>
        <w:t>。</w:t>
      </w:r>
      <w:r>
        <w:rPr>
          <w:rFonts w:hint="eastAsia"/>
          <w:color w:val="auto"/>
          <w:highlight w:val="none"/>
        </w:rPr>
        <w:t>（区农业农村局</w:t>
      </w:r>
      <w:r>
        <w:rPr>
          <w:rFonts w:hint="eastAsia"/>
          <w:color w:val="auto"/>
          <w:highlight w:val="none"/>
          <w:lang w:val="en-US" w:eastAsia="zh-CN"/>
        </w:rPr>
        <w:t>牵头，</w:t>
      </w:r>
      <w:r>
        <w:rPr>
          <w:rFonts w:hint="eastAsia"/>
          <w:color w:val="auto"/>
          <w:highlight w:val="none"/>
          <w:lang w:eastAsia="zh-CN"/>
        </w:rPr>
        <w:t>区发展和改革局</w:t>
      </w:r>
      <w:r>
        <w:rPr>
          <w:rFonts w:hint="eastAsia"/>
          <w:color w:val="auto"/>
          <w:highlight w:val="none"/>
        </w:rPr>
        <w:t>、市自然资源和规划局开福区分局、市生态环境局开福分局</w:t>
      </w:r>
      <w:r>
        <w:rPr>
          <w:rFonts w:hint="eastAsia"/>
          <w:color w:val="auto"/>
          <w:highlight w:val="none"/>
          <w:lang w:val="en-US" w:eastAsia="zh-CN"/>
        </w:rPr>
        <w:t>等</w:t>
      </w:r>
      <w:r>
        <w:rPr>
          <w:rFonts w:hint="eastAsia"/>
          <w:color w:val="auto"/>
          <w:highlight w:val="none"/>
        </w:rPr>
        <w:t>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2.推动</w:t>
      </w:r>
      <w:r>
        <w:rPr>
          <w:rFonts w:hint="eastAsia"/>
          <w:color w:val="auto"/>
          <w:highlight w:val="none"/>
          <w:lang w:val="en-US" w:eastAsia="zh-CN"/>
        </w:rPr>
        <w:t>农田湿地</w:t>
      </w:r>
      <w:r>
        <w:rPr>
          <w:rFonts w:hint="eastAsia"/>
          <w:color w:val="auto"/>
          <w:highlight w:val="none"/>
        </w:rPr>
        <w:t>碳汇能力提升</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开展农业面源污染防控，农药化肥使用量负增长行动、秸秆和畜禽粪污资源化利用，遏制秸秆焚烧现象。发展绿肥种植，支持有机肥生产与使用，推动果菜茶有机肥替代化肥，大力推广测土配方施肥，推广高效新型肥料与机械深施、水肥一体化、叶面喷施等方式。全面落实河长制、湖长制，建立健全了河湖管护机制，围绕截污、提标、调水、监管实施“一河一策”，开展河湖“清四乱”活动。积极开展农村水生态修复，实施农村清洁河道行动，全面开展农村河道综合治理、山塘清淤和路旁、村旁、宅旁沟渠净化工作，建设生态清洁型小流域。（区农业农村局</w:t>
      </w:r>
      <w:r>
        <w:rPr>
          <w:rFonts w:hint="eastAsia"/>
          <w:color w:val="auto"/>
          <w:highlight w:val="none"/>
          <w:lang w:val="en-US" w:eastAsia="zh-CN"/>
        </w:rPr>
        <w:t>牵头，</w:t>
      </w:r>
      <w:r>
        <w:rPr>
          <w:rFonts w:hint="eastAsia"/>
          <w:color w:val="auto"/>
          <w:highlight w:val="none"/>
        </w:rPr>
        <w:t>市自然资源和规划局开福区分局、市生态环境局开福分局</w:t>
      </w:r>
      <w:r>
        <w:rPr>
          <w:rFonts w:hint="eastAsia"/>
          <w:color w:val="auto"/>
          <w:highlight w:val="none"/>
          <w:lang w:val="en-US" w:eastAsia="zh-CN"/>
        </w:rPr>
        <w:t>等</w:t>
      </w:r>
      <w:r>
        <w:rPr>
          <w:rFonts w:hint="eastAsia"/>
          <w:color w:val="auto"/>
          <w:highlight w:val="none"/>
        </w:rPr>
        <w:t>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3.加强碳汇基础支撑</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开展生态系统碳汇本底调查和碳储量评估，实施生态保护修复碳汇成效监测评估。多部门协调开展调查，探明全区能源、碳排放与碳汇等情况。建立健全能够体现碳汇价值的生态保护补偿机制，积极推动碳汇项目参与温室气体自愿减排交易。（市自然资源和规划局开福区分局</w:t>
      </w:r>
      <w:r>
        <w:rPr>
          <w:rFonts w:hint="eastAsia"/>
          <w:color w:val="auto"/>
          <w:highlight w:val="none"/>
          <w:lang w:val="en-US" w:eastAsia="zh-CN"/>
        </w:rPr>
        <w:t>牵头，</w:t>
      </w:r>
      <w:r>
        <w:rPr>
          <w:rFonts w:hint="eastAsia"/>
          <w:color w:val="auto"/>
          <w:highlight w:val="none"/>
          <w:lang w:eastAsia="zh-CN"/>
        </w:rPr>
        <w:t>区发展和改革局、</w:t>
      </w:r>
      <w:r>
        <w:rPr>
          <w:rFonts w:hint="eastAsia"/>
          <w:color w:val="auto"/>
          <w:highlight w:val="none"/>
        </w:rPr>
        <w:t>区农业农村局、市生态环境局开福分局等按职责分工负责）</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15" w:name="_Toc2991"/>
      <w:r>
        <w:rPr>
          <w:rFonts w:hint="eastAsia"/>
          <w:color w:val="auto"/>
          <w:highlight w:val="none"/>
        </w:rPr>
        <w:t>（七）创新科技降碳方式</w:t>
      </w:r>
      <w:bookmarkEnd w:id="15"/>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1.加强绿色低碳人才培养</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引导开福区</w:t>
      </w:r>
      <w:r>
        <w:rPr>
          <w:rFonts w:hint="eastAsia"/>
          <w:color w:val="auto"/>
          <w:highlight w:val="none"/>
          <w:lang w:val="en-US" w:eastAsia="zh-CN"/>
        </w:rPr>
        <w:t>大中专院校</w:t>
      </w:r>
      <w:r>
        <w:rPr>
          <w:rFonts w:hint="eastAsia"/>
          <w:color w:val="auto"/>
          <w:highlight w:val="none"/>
        </w:rPr>
        <w:t>开设节能、储能、氢能、碳减排、碳市场、碳汇等专业，优化人才制度环境，进一步加强碳达峰、碳中和人才队伍的培育和引进。鼓励企业、高等学校、科研单位共建一批绿色低碳产业创新中心，创新人才培养模式。引导企业、高校、科研院所持续合作，形成技术研发、示范应用和产学研联动机制</w:t>
      </w:r>
      <w:r>
        <w:rPr>
          <w:rFonts w:hint="eastAsia"/>
          <w:color w:val="auto"/>
          <w:highlight w:val="none"/>
          <w:lang w:eastAsia="zh-CN"/>
        </w:rPr>
        <w:t>，</w:t>
      </w:r>
      <w:r>
        <w:rPr>
          <w:rFonts w:hint="eastAsia"/>
          <w:color w:val="auto"/>
          <w:highlight w:val="none"/>
        </w:rPr>
        <w:t>依托国防科技大学资源和军民两用技术，建设军民技术研发中心和中试基地，打造军民两用先进技术创新谷。（</w:t>
      </w:r>
      <w:r>
        <w:rPr>
          <w:rFonts w:hint="eastAsia"/>
          <w:color w:val="auto"/>
          <w:highlight w:val="none"/>
          <w:lang w:eastAsia="zh-CN"/>
        </w:rPr>
        <w:t>区科学技术局</w:t>
      </w:r>
      <w:r>
        <w:rPr>
          <w:rFonts w:hint="eastAsia"/>
          <w:color w:val="auto"/>
          <w:highlight w:val="none"/>
          <w:lang w:val="en-US" w:eastAsia="zh-CN"/>
        </w:rPr>
        <w:t>牵头</w:t>
      </w:r>
      <w:r>
        <w:rPr>
          <w:rFonts w:hint="eastAsia"/>
          <w:color w:val="auto"/>
          <w:highlight w:val="none"/>
          <w:lang w:eastAsia="zh-CN"/>
        </w:rPr>
        <w:t>，马栏山（长沙）视频文创园管理委员会、长沙金霞经济开发区管理委员会、区发展和改革局、</w:t>
      </w:r>
      <w:r>
        <w:rPr>
          <w:rFonts w:hint="eastAsia"/>
          <w:color w:val="auto"/>
          <w:highlight w:val="none"/>
        </w:rPr>
        <w:t>区人力资源和社会保障局等按职责分工负责）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2.大力推进先进低碳技术研究</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整合开福区优势资源，加强与科研院所、企业关键技术协作，推进一批绿色低碳、减污降碳、零碳负碳等前沿技术研究。加快发展全寿命周期净零碳混凝土、超低能耗建筑等绿色建筑技术。鼓励开发和引进以废弃物为原料的高附加值产品和低成本加工技术，促进区域废弃物的无害化、资源化和再利用。加强知识产权保护，完善绿色低碳技术和产品检测、评估、认证体系。（</w:t>
      </w:r>
      <w:r>
        <w:rPr>
          <w:rFonts w:hint="eastAsia"/>
          <w:color w:val="auto"/>
          <w:highlight w:val="none"/>
          <w:lang w:eastAsia="zh-CN"/>
        </w:rPr>
        <w:t>区科学技术局</w:t>
      </w:r>
      <w:r>
        <w:rPr>
          <w:rFonts w:hint="eastAsia"/>
          <w:color w:val="auto"/>
          <w:highlight w:val="none"/>
          <w:lang w:val="en-US" w:eastAsia="zh-CN"/>
        </w:rPr>
        <w:t>牵头</w:t>
      </w:r>
      <w:r>
        <w:rPr>
          <w:rFonts w:hint="eastAsia"/>
          <w:color w:val="auto"/>
          <w:highlight w:val="none"/>
          <w:lang w:eastAsia="zh-CN"/>
        </w:rPr>
        <w:t>，</w:t>
      </w:r>
      <w:r>
        <w:rPr>
          <w:rFonts w:hint="eastAsia"/>
          <w:color w:val="auto"/>
          <w:highlight w:val="none"/>
        </w:rPr>
        <w:t>区市场监督管理局等按职责分工负责）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3.加快绿色低碳技术的推广应用</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落实低碳技术发展的财政政策、税费征收政策、配套服务政策，营造良好的技术创新生态。</w:t>
      </w:r>
      <w:bookmarkStart w:id="16" w:name="_Hlk141627239"/>
      <w:r>
        <w:rPr>
          <w:rFonts w:hint="eastAsia"/>
          <w:color w:val="auto"/>
          <w:highlight w:val="none"/>
        </w:rPr>
        <w:t>构建市场导向的绿色技术创新体系，增强科技成果转化市场化服务，推进先进低碳技术的本地化应用。</w:t>
      </w:r>
      <w:bookmarkEnd w:id="16"/>
      <w:r>
        <w:rPr>
          <w:rFonts w:hint="eastAsia"/>
          <w:color w:val="auto"/>
          <w:highlight w:val="none"/>
        </w:rPr>
        <w:t>结合开福区本地实际情况，建立服务社会化、专业化、规范化的低碳技术市场服务体系，促进绿色低碳技术的推广，提高低碳技术产业化发展水平。（</w:t>
      </w:r>
      <w:r>
        <w:rPr>
          <w:rFonts w:hint="eastAsia"/>
          <w:color w:val="auto"/>
          <w:highlight w:val="none"/>
          <w:lang w:eastAsia="zh-CN"/>
        </w:rPr>
        <w:t>区科学技术局</w:t>
      </w:r>
      <w:r>
        <w:rPr>
          <w:rFonts w:hint="eastAsia"/>
          <w:color w:val="auto"/>
          <w:highlight w:val="none"/>
          <w:lang w:val="en-US" w:eastAsia="zh-CN"/>
        </w:rPr>
        <w:t>牵头，</w:t>
      </w:r>
      <w:r>
        <w:rPr>
          <w:rFonts w:hint="eastAsia"/>
          <w:color w:val="auto"/>
          <w:highlight w:val="none"/>
          <w:lang w:eastAsia="zh-CN"/>
        </w:rPr>
        <w:t>区工业和信息化局</w:t>
      </w:r>
      <w:r>
        <w:rPr>
          <w:rFonts w:hint="eastAsia"/>
          <w:color w:val="auto"/>
          <w:highlight w:val="none"/>
        </w:rPr>
        <w:t>等按职责分工负责）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4.推进智慧城市管理</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利用人工智能、大数据等先进技术，通过全面打通各类数据，利用开福区实时全量的城市数据资源，实施融合计算，对开福区进行全局的及时分析、指挥、调动、管理，最终实现对城区的精准分析和协同指挥。充分发挥数据中心在智慧城市建设中的中枢作用，从“智慧停车”、“智慧医疗”、“智慧教育”、“智慧商业”、“智慧社区”等8大方面全力推进“智慧开福”建设。（区数据资源中心</w:t>
      </w:r>
      <w:r>
        <w:rPr>
          <w:rFonts w:hint="eastAsia"/>
          <w:color w:val="auto"/>
          <w:highlight w:val="none"/>
          <w:lang w:val="en-US" w:eastAsia="zh-CN"/>
        </w:rPr>
        <w:t>牵头，</w:t>
      </w:r>
      <w:r>
        <w:rPr>
          <w:rFonts w:hint="eastAsia"/>
          <w:color w:val="auto"/>
          <w:highlight w:val="none"/>
          <w:lang w:eastAsia="zh-CN"/>
        </w:rPr>
        <w:t>区发展和改革局</w:t>
      </w:r>
      <w:r>
        <w:rPr>
          <w:rFonts w:hint="eastAsia"/>
          <w:color w:val="auto"/>
          <w:highlight w:val="none"/>
        </w:rPr>
        <w:t>、</w:t>
      </w:r>
      <w:r>
        <w:rPr>
          <w:rFonts w:hint="eastAsia"/>
          <w:color w:val="auto"/>
          <w:highlight w:val="none"/>
          <w:lang w:eastAsia="zh-CN"/>
        </w:rPr>
        <w:t>区工业和信息化局、</w:t>
      </w:r>
      <w:r>
        <w:rPr>
          <w:rFonts w:hint="eastAsia"/>
          <w:color w:val="auto"/>
          <w:highlight w:val="none"/>
        </w:rPr>
        <w:t>区卫生健康局、市生态环境局开福分局等按职责分工负责）</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17" w:name="_Toc5327"/>
      <w:r>
        <w:rPr>
          <w:rFonts w:hint="eastAsia"/>
          <w:color w:val="auto"/>
          <w:highlight w:val="none"/>
        </w:rPr>
        <w:t>（八）大力发展循环经济</w:t>
      </w:r>
      <w:bookmarkEnd w:id="17"/>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1.推进产业园区循环发展</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开展园区循环化改造，推动园区的空间布局合理化、产业结构最优化、产业链接循环化、资源利用高效化、污染治理集中化、基础设施绿色化、运行管理规范化。推进固体废弃物循环利用、能量梯级利用、工业废水再生利用和污染物集中安全处置，提高区域内能源资源循环利用效率。正在进行循环化改造的金霞经济开发区应对标国家要求，进一步优化调整园区循环化改造实施方案，认真总结并形成经典经验模式。（</w:t>
      </w:r>
      <w:r>
        <w:rPr>
          <w:rFonts w:hint="eastAsia"/>
          <w:color w:val="auto"/>
          <w:highlight w:val="none"/>
          <w:lang w:eastAsia="zh-CN"/>
        </w:rPr>
        <w:t>区发展和改革局</w:t>
      </w:r>
      <w:r>
        <w:rPr>
          <w:rFonts w:hint="eastAsia"/>
          <w:color w:val="auto"/>
          <w:highlight w:val="none"/>
          <w:lang w:val="en-US" w:eastAsia="zh-CN"/>
        </w:rPr>
        <w:t>牵头</w:t>
      </w:r>
      <w:r>
        <w:rPr>
          <w:rFonts w:hint="eastAsia"/>
          <w:color w:val="auto"/>
          <w:highlight w:val="none"/>
          <w:lang w:eastAsia="zh-CN"/>
        </w:rPr>
        <w:t>，马栏山（长沙）视频文创园管理委员会、长沙金霞经济开发区管理委员会、区工业和信息化局、区城市管理和综合执法局</w:t>
      </w:r>
      <w:r>
        <w:rPr>
          <w:rFonts w:hint="eastAsia"/>
          <w:color w:val="auto"/>
          <w:highlight w:val="none"/>
        </w:rPr>
        <w:t>、市生态环境局开福分局等按职责分工负责）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2.加快构建资源循环利用体系</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推进邮件快件绿色包装应用，进一步普及快递包装废弃物回收箱。建立健全生活垃圾收运处理体系，加强生活垃圾分类教育，引导民众自觉分类投放，从源头做好垃圾分类。利用互联网平台，搭建线上线下协同的再生资源回收体系，实现再生资源高效回收。积极培育再生资源回收利用主体，推动再生资源产业集聚发展，促进再生资源规范化、规模化、高值化利用。到2025年，生活垃圾分类回收利用率达到35%。到2030年，城市生活垃圾分类实现全覆盖，生活垃圾资源化比例提升至65%以上。（</w:t>
      </w:r>
      <w:r>
        <w:rPr>
          <w:rFonts w:hint="eastAsia"/>
          <w:color w:val="auto"/>
          <w:highlight w:val="none"/>
          <w:lang w:eastAsia="zh-CN"/>
        </w:rPr>
        <w:t>区发展和改革局</w:t>
      </w:r>
      <w:r>
        <w:rPr>
          <w:rFonts w:hint="eastAsia"/>
          <w:color w:val="auto"/>
          <w:highlight w:val="none"/>
        </w:rPr>
        <w:t>、</w:t>
      </w:r>
      <w:r>
        <w:rPr>
          <w:rFonts w:hint="eastAsia"/>
          <w:color w:val="auto"/>
          <w:highlight w:val="none"/>
          <w:lang w:eastAsia="zh-CN"/>
        </w:rPr>
        <w:t>区工业和信息化局</w:t>
      </w:r>
      <w:r>
        <w:rPr>
          <w:rFonts w:hint="eastAsia"/>
          <w:color w:val="auto"/>
          <w:highlight w:val="none"/>
        </w:rPr>
        <w:t>、</w:t>
      </w:r>
      <w:r>
        <w:rPr>
          <w:rFonts w:hint="eastAsia"/>
          <w:color w:val="auto"/>
          <w:highlight w:val="none"/>
          <w:lang w:val="en-US" w:eastAsia="zh-CN"/>
        </w:rPr>
        <w:t>区住房和城乡建设局、区商务局、</w:t>
      </w:r>
      <w:r>
        <w:rPr>
          <w:rFonts w:hint="eastAsia"/>
          <w:color w:val="auto"/>
          <w:highlight w:val="none"/>
          <w:lang w:eastAsia="zh-CN"/>
        </w:rPr>
        <w:t>区城市管理和综合执法局</w:t>
      </w:r>
      <w:r>
        <w:rPr>
          <w:rFonts w:hint="eastAsia"/>
          <w:color w:val="auto"/>
          <w:highlight w:val="none"/>
        </w:rPr>
        <w:t>、区机关事务中心</w:t>
      </w:r>
      <w:r>
        <w:rPr>
          <w:rFonts w:hint="eastAsia"/>
          <w:color w:val="auto"/>
          <w:highlight w:val="none"/>
          <w:lang w:eastAsia="zh-CN"/>
        </w:rPr>
        <w:t>、</w:t>
      </w:r>
      <w:r>
        <w:rPr>
          <w:rFonts w:hint="eastAsia"/>
          <w:color w:val="auto"/>
          <w:highlight w:val="none"/>
        </w:rPr>
        <w:t>市生态环境局开福分局等按职责分工负责）</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18" w:name="_Toc5747"/>
      <w:r>
        <w:rPr>
          <w:rFonts w:hint="eastAsia"/>
          <w:color w:val="auto"/>
          <w:highlight w:val="none"/>
        </w:rPr>
        <w:t>（九）倡导低碳生活方式</w:t>
      </w:r>
      <w:bookmarkEnd w:id="18"/>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1.打造辐射全国的近零碳文化基地</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加强对公众的生态文明宣传和教育，结合传统媒体和新媒体等多种宣传手段，广泛展示零碳概念。充分发挥马栏山视频文创园区视频文创产业的平台宣发优势，有力整合多元化的宣传渠道，在近零碳理念宣传引导、</w:t>
      </w:r>
      <w:r>
        <w:rPr>
          <w:rFonts w:hint="eastAsia"/>
          <w:color w:val="auto"/>
          <w:highlight w:val="none"/>
          <w:lang w:eastAsia="zh-CN"/>
        </w:rPr>
        <w:t>增强</w:t>
      </w:r>
      <w:r>
        <w:rPr>
          <w:rFonts w:hint="eastAsia"/>
          <w:color w:val="auto"/>
          <w:highlight w:val="none"/>
        </w:rPr>
        <w:t>公众绿色低碳生活意识等方面充分发挥引领示范带头作用。（马栏山（长沙）视频文创园管理委员会</w:t>
      </w:r>
      <w:r>
        <w:rPr>
          <w:rFonts w:hint="eastAsia"/>
          <w:color w:val="auto"/>
          <w:highlight w:val="none"/>
          <w:lang w:eastAsia="zh-CN"/>
        </w:rPr>
        <w:t>、</w:t>
      </w:r>
      <w:r>
        <w:rPr>
          <w:rFonts w:hint="eastAsia"/>
          <w:color w:val="auto"/>
          <w:highlight w:val="none"/>
        </w:rPr>
        <w:t>区委宣传部、</w:t>
      </w:r>
      <w:r>
        <w:rPr>
          <w:rFonts w:hint="eastAsia"/>
          <w:color w:val="auto"/>
          <w:highlight w:val="none"/>
          <w:lang w:eastAsia="zh-CN"/>
        </w:rPr>
        <w:t>区发展和改革局</w:t>
      </w:r>
      <w:r>
        <w:rPr>
          <w:rFonts w:hint="eastAsia"/>
          <w:color w:val="auto"/>
          <w:highlight w:val="none"/>
        </w:rPr>
        <w:t>、区文化旅游体育局、市生态环境局开福分局等按职责分工负责）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2.加强全民低碳宣传教育</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深入开展全民教育，将绿色低碳、勤俭节约的生活理念融入家庭教育、学前教育、义务教育及职工继续教育等体系；充分运用新媒体等创新宣传方式，将绿色低碳理念有机融入影视文艺作品、文创产品和公益广告。持续开展世界地球日、世界环境日、全国节能宣传周、“六五”环境日、全国低碳日等主题宣传活动，传播绿色知识和行为规范，提高全民低碳意识和素质。（区委组织部、区委宣传部、</w:t>
      </w:r>
      <w:r>
        <w:rPr>
          <w:rFonts w:hint="eastAsia"/>
          <w:color w:val="auto"/>
          <w:highlight w:val="none"/>
          <w:lang w:eastAsia="zh-CN"/>
        </w:rPr>
        <w:t>区发展和改革局</w:t>
      </w:r>
      <w:r>
        <w:rPr>
          <w:rFonts w:hint="eastAsia"/>
          <w:color w:val="auto"/>
          <w:highlight w:val="none"/>
        </w:rPr>
        <w:t>、</w:t>
      </w:r>
      <w:r>
        <w:rPr>
          <w:rFonts w:hint="eastAsia"/>
          <w:color w:val="auto"/>
          <w:highlight w:val="none"/>
          <w:lang w:eastAsia="zh-CN"/>
        </w:rPr>
        <w:t>区住房和城乡建设局、</w:t>
      </w:r>
      <w:r>
        <w:rPr>
          <w:rFonts w:hint="eastAsia"/>
          <w:color w:val="auto"/>
          <w:highlight w:val="none"/>
        </w:rPr>
        <w:t>区交通运输局、区机关事务中心市生态环境局开福分局等按职责分工负责）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3.普及绿色低碳生活方式</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倡导绿色健康的消费模式和生活方式，探索搭建碳普惠平台，引导公众在衣食住行游等方面形成简约适度、绿色低碳、文明健康的生活方式和消费模式。鼓励发展二手交易市场，推进电子产品、家电、书籍等二手商品的重复使用。制定低碳产品惠民政策，引导市民采购更多节能、节水、环保、再生等绿色产品。推行节能绿色办公，推行使用循环再生办公用品和无纸化办公等绿色办公方式。</w:t>
      </w:r>
      <w:r>
        <w:rPr>
          <w:rFonts w:hint="eastAsia"/>
          <w:color w:val="auto"/>
          <w:highlight w:val="none"/>
          <w:lang w:val="en-US" w:eastAsia="zh-CN"/>
        </w:rPr>
        <w:t>倡导绿色交通，鼓励市民低碳出行。</w:t>
      </w:r>
      <w:r>
        <w:rPr>
          <w:rFonts w:hint="eastAsia"/>
          <w:color w:val="auto"/>
          <w:highlight w:val="none"/>
        </w:rPr>
        <w:t>（</w:t>
      </w:r>
      <w:r>
        <w:rPr>
          <w:rFonts w:hint="eastAsia"/>
          <w:color w:val="auto"/>
          <w:highlight w:val="none"/>
          <w:lang w:val="en-US" w:eastAsia="zh-CN"/>
        </w:rPr>
        <w:t>区委宣传部、</w:t>
      </w:r>
      <w:r>
        <w:rPr>
          <w:rFonts w:hint="eastAsia"/>
          <w:color w:val="auto"/>
          <w:highlight w:val="none"/>
          <w:lang w:eastAsia="zh-CN"/>
        </w:rPr>
        <w:t>区发展和改革局</w:t>
      </w:r>
      <w:r>
        <w:rPr>
          <w:rFonts w:hint="eastAsia"/>
          <w:color w:val="auto"/>
          <w:highlight w:val="none"/>
        </w:rPr>
        <w:t>、</w:t>
      </w:r>
      <w:r>
        <w:rPr>
          <w:rFonts w:hint="eastAsia"/>
          <w:color w:val="auto"/>
          <w:highlight w:val="none"/>
          <w:lang w:val="en-US" w:eastAsia="zh-CN"/>
        </w:rPr>
        <w:t>区交通运输局、</w:t>
      </w:r>
      <w:r>
        <w:rPr>
          <w:rFonts w:hint="eastAsia"/>
          <w:color w:val="auto"/>
          <w:highlight w:val="none"/>
        </w:rPr>
        <w:t>市生态环境局开福分局等按职责分工负责）</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19" w:name="_Toc28399"/>
      <w:r>
        <w:rPr>
          <w:rFonts w:hint="eastAsia"/>
          <w:color w:val="auto"/>
          <w:highlight w:val="none"/>
        </w:rPr>
        <w:t>（十）深入开展低碳试点示范行动</w:t>
      </w:r>
      <w:bookmarkEnd w:id="19"/>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1.开展低碳产业试点示范建设</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在马栏山视频文创产业园、金霞经济开发区等重点发展区域，打造一批各具特色、可操作、可复制、可推广的绿色低碳发展试点示范样本。加快推进马栏山近零碳示范园建设，围绕“三区一中心”，重点优化产业发展环境、加强基础支撑能力，着力打造低碳文化产业生态园。推动金霞经开区园区碳达峰建设，积极淘汰落后产能，提升改造现有产业，优化存量产业单位能耗、水耗和污染物排放产出指标；认真制定产业空间导向政策，促进低碳节能产业空间集聚与园区的有机整合。（区</w:t>
      </w:r>
      <w:r>
        <w:rPr>
          <w:rFonts w:hint="eastAsia"/>
          <w:color w:val="auto"/>
          <w:highlight w:val="none"/>
          <w:lang w:eastAsia="zh-CN"/>
        </w:rPr>
        <w:t>发展和改革局</w:t>
      </w:r>
      <w:r>
        <w:rPr>
          <w:rFonts w:hint="eastAsia"/>
          <w:color w:val="auto"/>
          <w:highlight w:val="none"/>
          <w:lang w:val="en-US" w:eastAsia="zh-CN"/>
        </w:rPr>
        <w:t>牵头，马栏山（长沙）视频文创园管理委员会、长沙金霞经济开发区管理委员会</w:t>
      </w:r>
      <w:r>
        <w:rPr>
          <w:rFonts w:hint="eastAsia"/>
          <w:color w:val="auto"/>
          <w:highlight w:val="none"/>
          <w:lang w:eastAsia="zh-CN"/>
        </w:rPr>
        <w:t>、</w:t>
      </w:r>
      <w:r>
        <w:rPr>
          <w:rFonts w:hint="eastAsia"/>
          <w:color w:val="auto"/>
          <w:highlight w:val="none"/>
        </w:rPr>
        <w:t>市生态环境局开福分局等按职责分工负责）</w:t>
      </w:r>
    </w:p>
    <w:p>
      <w:pPr>
        <w:pStyle w:val="6"/>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r>
        <w:rPr>
          <w:rFonts w:hint="eastAsia"/>
          <w:color w:val="auto"/>
          <w:highlight w:val="none"/>
        </w:rPr>
        <w:t>2.开展绿色公共机构示范建设</w:t>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重点推进工业园区、党政机关、医院以及学校等公共机构的光伏建设项目，推动可再生能源建筑规模化应用。推动公共机构建筑有序实施节能改造，加快公共机构既有建筑围护结构、中央空调、照明、电梯等用能系统和设施设备节能改造，鼓励采用能源费用托管等合同能源管理模式。逐步推行能耗定额管理，推进空调负荷感知能力建设，全面开展节约型机关创建。到2025年，全</w:t>
      </w:r>
      <w:r>
        <w:rPr>
          <w:rFonts w:hint="eastAsia"/>
          <w:color w:val="auto"/>
          <w:highlight w:val="none"/>
          <w:lang w:val="en-US" w:eastAsia="zh-CN"/>
        </w:rPr>
        <w:t>区</w:t>
      </w:r>
      <w:r>
        <w:rPr>
          <w:rFonts w:hint="eastAsia"/>
          <w:color w:val="auto"/>
          <w:highlight w:val="none"/>
        </w:rPr>
        <w:t>公共机构单位建筑面积能耗较2020年下降</w:t>
      </w:r>
      <w:r>
        <w:rPr>
          <w:rFonts w:hint="eastAsia"/>
          <w:color w:val="auto"/>
          <w:highlight w:val="none"/>
          <w:lang w:val="en-US" w:eastAsia="zh-CN"/>
        </w:rPr>
        <w:t>5</w:t>
      </w:r>
      <w:r>
        <w:rPr>
          <w:rFonts w:hint="eastAsia"/>
          <w:color w:val="auto"/>
          <w:highlight w:val="none"/>
        </w:rPr>
        <w:t>%，单位建筑面积碳排放量较2020年下降</w:t>
      </w:r>
      <w:r>
        <w:rPr>
          <w:rFonts w:hint="eastAsia"/>
          <w:color w:val="auto"/>
          <w:highlight w:val="none"/>
          <w:lang w:val="en-US" w:eastAsia="zh-CN"/>
        </w:rPr>
        <w:t>7</w:t>
      </w:r>
      <w:r>
        <w:rPr>
          <w:rFonts w:hint="eastAsia"/>
          <w:color w:val="auto"/>
          <w:highlight w:val="none"/>
        </w:rPr>
        <w:t>%。（区</w:t>
      </w:r>
      <w:r>
        <w:rPr>
          <w:rFonts w:hint="eastAsia"/>
          <w:color w:val="auto"/>
          <w:highlight w:val="none"/>
          <w:lang w:eastAsia="zh-CN"/>
        </w:rPr>
        <w:t>发展和改革局</w:t>
      </w:r>
      <w:r>
        <w:rPr>
          <w:rFonts w:hint="eastAsia"/>
          <w:color w:val="auto"/>
          <w:highlight w:val="none"/>
          <w:lang w:val="en-US" w:eastAsia="zh-CN"/>
        </w:rPr>
        <w:t>牵头，</w:t>
      </w:r>
      <w:r>
        <w:rPr>
          <w:rFonts w:hint="eastAsia"/>
          <w:color w:val="auto"/>
          <w:highlight w:val="none"/>
        </w:rPr>
        <w:t>区机关事务中心</w:t>
      </w:r>
      <w:r>
        <w:rPr>
          <w:rFonts w:hint="eastAsia"/>
          <w:color w:val="auto"/>
          <w:highlight w:val="none"/>
          <w:lang w:val="en-US" w:eastAsia="zh-CN"/>
        </w:rPr>
        <w:t>等</w:t>
      </w:r>
      <w:r>
        <w:rPr>
          <w:rFonts w:hint="eastAsia"/>
          <w:color w:val="auto"/>
          <w:highlight w:val="none"/>
        </w:rPr>
        <w:t>按职责分工负责）</w:t>
      </w:r>
    </w:p>
    <w:p>
      <w:pPr>
        <w:pStyle w:val="4"/>
        <w:pageBreakBefore w:val="0"/>
        <w:widowControl w:val="0"/>
        <w:kinsoku/>
        <w:wordWrap/>
        <w:overflowPunct/>
        <w:topLinePunct w:val="0"/>
        <w:autoSpaceDE/>
        <w:autoSpaceDN/>
        <w:bidi w:val="0"/>
        <w:adjustRightInd/>
        <w:snapToGrid/>
        <w:textAlignment w:val="auto"/>
        <w:rPr>
          <w:rFonts w:hint="eastAsia"/>
          <w:color w:val="auto"/>
          <w:highlight w:val="none"/>
        </w:rPr>
      </w:pPr>
      <w:bookmarkStart w:id="20" w:name="_Toc28658"/>
      <w:r>
        <w:rPr>
          <w:rFonts w:hint="eastAsia"/>
          <w:color w:val="auto"/>
          <w:highlight w:val="none"/>
        </w:rPr>
        <w:t>四、政策保障</w:t>
      </w:r>
      <w:bookmarkEnd w:id="20"/>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21" w:name="_Toc9592"/>
      <w:r>
        <w:rPr>
          <w:rFonts w:hint="eastAsia"/>
          <w:color w:val="auto"/>
          <w:highlight w:val="none"/>
        </w:rPr>
        <w:t>（一）完善统计核算体系</w:t>
      </w:r>
      <w:bookmarkEnd w:id="21"/>
    </w:p>
    <w:p>
      <w:pPr>
        <w:pageBreakBefore w:val="0"/>
        <w:widowControl w:val="0"/>
        <w:kinsoku/>
        <w:wordWrap/>
        <w:overflowPunct/>
        <w:topLinePunct w:val="0"/>
        <w:autoSpaceDE/>
        <w:autoSpaceDN/>
        <w:bidi w:val="0"/>
        <w:adjustRightInd/>
        <w:snapToGrid/>
        <w:textAlignment w:val="auto"/>
        <w:rPr>
          <w:rFonts w:hint="eastAsia"/>
          <w:color w:val="auto"/>
          <w:highlight w:val="none"/>
        </w:rPr>
      </w:pPr>
      <w:bookmarkStart w:id="22" w:name="_Hlk141633218"/>
      <w:bookmarkStart w:id="23" w:name="_Hlk141633015"/>
      <w:r>
        <w:rPr>
          <w:rFonts w:hint="eastAsia"/>
          <w:color w:val="auto"/>
          <w:highlight w:val="none"/>
        </w:rPr>
        <w:t>按照国家、省、市有关要求，结合我区实际和特点，细化落实能耗监测体系，积极参与重点用能单位能耗在线监测系统建设，统一管理全区碳排放相关数据。建立健全多部门信息资源共享机制，提升原始能源数据的精准度。</w:t>
      </w:r>
      <w:bookmarkEnd w:id="22"/>
      <w:r>
        <w:rPr>
          <w:rFonts w:hint="eastAsia"/>
          <w:color w:val="auto"/>
          <w:highlight w:val="none"/>
          <w:lang w:val="en-US" w:eastAsia="zh-CN"/>
        </w:rPr>
        <w:t>配合长沙市建设市级化石能源碳排放核算体系</w:t>
      </w:r>
      <w:r>
        <w:rPr>
          <w:rFonts w:hint="eastAsia"/>
          <w:color w:val="auto"/>
          <w:highlight w:val="none"/>
        </w:rPr>
        <w:t>。</w:t>
      </w:r>
    </w:p>
    <w:bookmarkEnd w:id="23"/>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24" w:name="_Toc4965"/>
      <w:r>
        <w:rPr>
          <w:rFonts w:hint="eastAsia"/>
          <w:color w:val="auto"/>
          <w:highlight w:val="none"/>
        </w:rPr>
        <w:t>（二）优化项目准入制度</w:t>
      </w:r>
      <w:bookmarkEnd w:id="24"/>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新建项目必须符合省、市、区产业政策、发展规划和国土空间布局，且达到行业能效先进水平。对项目产品、工艺、技术、装备等属于限制类或淘汰类的，一律不予审批、核准或备案。</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25" w:name="_Toc13712"/>
      <w:r>
        <w:rPr>
          <w:rFonts w:hint="eastAsia"/>
          <w:color w:val="auto"/>
          <w:highlight w:val="none"/>
        </w:rPr>
        <w:t>（三）完善支持政策</w:t>
      </w:r>
      <w:bookmarkEnd w:id="25"/>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加强财政资金统筹，加大碳达峰碳中和财政支持力度，强化对工业、建筑、交通等重点行业领域的保障力度，切实保障碳达峰碳中和工作资金需求。落实环境保护、资源综合利用、节能节水、新能源车船、碳减排等税收优惠政策。认真执行针对高耗能、高排放行业的差别电价、阶梯电价等绿色电价政策，促进节能减碳。完善居民阶梯电价制度，引导全社会节约用电，优化电力消费行为。落实碳达峰相关税收优惠，开展税收精细宣传辅导服务，确保企业应享尽享。</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26" w:name="_Toc1255"/>
      <w:r>
        <w:rPr>
          <w:rFonts w:hint="eastAsia"/>
          <w:color w:val="auto"/>
          <w:highlight w:val="none"/>
        </w:rPr>
        <w:t>（四）强化市场化机制</w:t>
      </w:r>
      <w:bookmarkEnd w:id="26"/>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落实全国碳排放权交易市场建设相关要求，加强数据质量监管、配额管理和清缴履约，推动</w:t>
      </w:r>
      <w:r>
        <w:rPr>
          <w:rFonts w:hint="eastAsia"/>
          <w:color w:val="auto"/>
          <w:highlight w:val="none"/>
          <w:lang w:val="en-US" w:eastAsia="zh-CN"/>
        </w:rPr>
        <w:t>森林</w:t>
      </w:r>
      <w:r>
        <w:rPr>
          <w:rFonts w:hint="eastAsia"/>
          <w:color w:val="auto"/>
          <w:highlight w:val="none"/>
        </w:rPr>
        <w:t>碳汇</w:t>
      </w:r>
      <w:r>
        <w:rPr>
          <w:rFonts w:hint="eastAsia"/>
          <w:color w:val="auto"/>
          <w:highlight w:val="none"/>
          <w:lang w:val="en-US" w:eastAsia="zh-CN"/>
        </w:rPr>
        <w:t>资源开发和统计</w:t>
      </w:r>
      <w:r>
        <w:rPr>
          <w:rFonts w:hint="eastAsia"/>
          <w:color w:val="auto"/>
          <w:highlight w:val="none"/>
        </w:rPr>
        <w:t>，健全企业碳排放报告和信息披露制度，开展公共机构碳排放核查，创新推广碳披露和碳标签。完善用能权有偿使用和交易制度，推动用能权交易市场落实节能降碳政策要求，统筹推进碳排放权、用能权、电力交易等市场建设。支持通过绿色技术交易市场促进绿色技术创新成果转化。推行合同能源管理，推广节能咨询、诊断、设计、融资、改造、托管等“一站式”综合服务模式。</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27" w:name="_Toc18508"/>
      <w:r>
        <w:rPr>
          <w:rFonts w:hint="eastAsia"/>
          <w:color w:val="auto"/>
          <w:highlight w:val="none"/>
        </w:rPr>
        <w:t>（五）大力发展绿色金融</w:t>
      </w:r>
      <w:bookmarkEnd w:id="27"/>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构建绿色债券、绿色产业基金、绿色信贷、绿色保险等绿色金融链，全方位推动开福区绿色金融高质量发展。合理配置绿色金融资源，提升绿色金融带动绿色产业发展的力度。建立绿色项目库，鼓励银行业积极开展绿色贷款业务，开辟绿色贷款业务快速审批通道，将绿色贷款占比纳入业绩评价体系。探索利用政府引导基金、发行绿色债券等渠道，吸引金融机构和企业参与碳达峰。有序推进绿色保险服务，围绕安全降碳需要，加大金融产品创新力度，助力低碳技术推广和产业绿色低碳转型。</w:t>
      </w:r>
    </w:p>
    <w:p>
      <w:pPr>
        <w:pStyle w:val="4"/>
        <w:pageBreakBefore w:val="0"/>
        <w:widowControl w:val="0"/>
        <w:kinsoku/>
        <w:wordWrap/>
        <w:overflowPunct/>
        <w:topLinePunct w:val="0"/>
        <w:autoSpaceDE/>
        <w:autoSpaceDN/>
        <w:bidi w:val="0"/>
        <w:adjustRightInd/>
        <w:snapToGrid/>
        <w:textAlignment w:val="auto"/>
        <w:rPr>
          <w:rFonts w:hint="eastAsia"/>
          <w:color w:val="auto"/>
          <w:highlight w:val="none"/>
        </w:rPr>
      </w:pPr>
      <w:bookmarkStart w:id="28" w:name="_Toc12564"/>
      <w:r>
        <w:rPr>
          <w:rFonts w:hint="eastAsia"/>
          <w:color w:val="auto"/>
          <w:highlight w:val="none"/>
        </w:rPr>
        <w:t>五、组织实施</w:t>
      </w:r>
      <w:bookmarkEnd w:id="28"/>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29" w:name="_Toc18500"/>
      <w:r>
        <w:rPr>
          <w:rFonts w:hint="eastAsia"/>
          <w:color w:val="auto"/>
          <w:highlight w:val="none"/>
        </w:rPr>
        <w:t>（一）加强组织领导</w:t>
      </w:r>
      <w:bookmarkEnd w:id="29"/>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加强对碳达峰、碳中和工作的集中统一领导，区</w:t>
      </w:r>
      <w:r>
        <w:rPr>
          <w:rFonts w:hint="eastAsia"/>
          <w:color w:val="auto"/>
          <w:highlight w:val="none"/>
          <w:lang w:val="en-US" w:eastAsia="zh-CN"/>
        </w:rPr>
        <w:t>发展和改革局</w:t>
      </w:r>
      <w:r>
        <w:rPr>
          <w:rFonts w:hint="eastAsia"/>
          <w:color w:val="auto"/>
          <w:highlight w:val="none"/>
        </w:rPr>
        <w:t>对碳达峰相关工作进行整体部署和系统推进。各</w:t>
      </w:r>
      <w:r>
        <w:rPr>
          <w:rFonts w:hint="eastAsia"/>
          <w:color w:val="auto"/>
          <w:highlight w:val="none"/>
          <w:lang w:val="en-US" w:eastAsia="zh-CN"/>
        </w:rPr>
        <w:t>责任</w:t>
      </w:r>
      <w:r>
        <w:rPr>
          <w:rFonts w:hint="eastAsia"/>
          <w:color w:val="auto"/>
          <w:highlight w:val="none"/>
        </w:rPr>
        <w:t>单位要按照职责分工，全力推进相关工作。区发展和改革局加强工作统筹、系统谋划和跟踪评估，定期对各地区和重点领域、重点行业工作进展情况进行调度，协调研究实施中遇到的重大问题，确保各项目标任务落到实处。</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30" w:name="_Toc3786"/>
      <w:r>
        <w:rPr>
          <w:rFonts w:hint="eastAsia"/>
          <w:color w:val="auto"/>
          <w:highlight w:val="none"/>
        </w:rPr>
        <w:t>（二）强化监督考核机制</w:t>
      </w:r>
      <w:bookmarkEnd w:id="30"/>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落实碳达峰行动目标责任评价考核制度，实行能耗指标和碳排放指标的协同管理、协同分解、协同考核。加强监督考核结果应用，对碳达峰工作突出的单位和个人按规定给予奖励，对未完成碳排放控制目标的部门实行通报批评和问责，落实情况纳入政府年度目标责任考核。</w:t>
      </w:r>
      <w:r>
        <w:rPr>
          <w:rFonts w:hint="eastAsia"/>
          <w:color w:val="auto"/>
          <w:highlight w:val="none"/>
          <w:lang w:val="en-US" w:eastAsia="zh-CN"/>
        </w:rPr>
        <w:t>各责任</w:t>
      </w:r>
      <w:r>
        <w:rPr>
          <w:rFonts w:hint="eastAsia"/>
          <w:color w:val="auto"/>
          <w:highlight w:val="none"/>
        </w:rPr>
        <w:t>单位要组织开展碳达峰目标任务年度评估，有关工作进展和重大问题及时向区</w:t>
      </w:r>
      <w:r>
        <w:rPr>
          <w:rFonts w:hint="eastAsia"/>
          <w:color w:val="auto"/>
          <w:highlight w:val="none"/>
          <w:lang w:val="en-US" w:eastAsia="zh-CN"/>
        </w:rPr>
        <w:t>发展和改革局</w:t>
      </w:r>
      <w:r>
        <w:rPr>
          <w:rFonts w:hint="eastAsia"/>
          <w:color w:val="auto"/>
          <w:highlight w:val="none"/>
        </w:rPr>
        <w:t>报告。</w:t>
      </w:r>
    </w:p>
    <w:p>
      <w:pPr>
        <w:pStyle w:val="5"/>
        <w:pageBreakBefore w:val="0"/>
        <w:widowControl w:val="0"/>
        <w:kinsoku/>
        <w:wordWrap/>
        <w:overflowPunct/>
        <w:topLinePunct w:val="0"/>
        <w:autoSpaceDE/>
        <w:autoSpaceDN/>
        <w:bidi w:val="0"/>
        <w:adjustRightInd/>
        <w:snapToGrid/>
        <w:spacing w:beforeLines="0" w:afterLines="0"/>
        <w:textAlignment w:val="auto"/>
        <w:rPr>
          <w:rFonts w:hint="eastAsia"/>
          <w:color w:val="auto"/>
          <w:highlight w:val="none"/>
        </w:rPr>
      </w:pPr>
      <w:bookmarkStart w:id="31" w:name="_Toc21732"/>
      <w:r>
        <w:rPr>
          <w:rFonts w:hint="eastAsia"/>
          <w:color w:val="auto"/>
          <w:highlight w:val="none"/>
        </w:rPr>
        <w:t>（三）加强风险防控</w:t>
      </w:r>
      <w:bookmarkEnd w:id="31"/>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color w:val="auto"/>
          <w:highlight w:val="none"/>
        </w:rPr>
        <w:t>健全预警机制，防范化解减碳风险。建立健全减碳风险防范应急预案，深入查摆“双碳”工作中的薄弱环节，建立重点风险防范目录台账，加强对个别领域可能存在风险的分析研判，完善应急处突工作机制，始终做到心中有数、分类施策、精准拆弹，努力将问题化解于初萌、将风险化解于无形，坚决杜绝局部性、区域性风险演化为系统性、全局性风险。</w:t>
      </w:r>
    </w:p>
    <w:p>
      <w:pPr>
        <w:pageBreakBefore w:val="0"/>
        <w:widowControl w:val="0"/>
        <w:kinsoku/>
        <w:wordWrap/>
        <w:overflowPunct/>
        <w:topLinePunct w:val="0"/>
        <w:autoSpaceDE/>
        <w:autoSpaceDN/>
        <w:bidi w:val="0"/>
        <w:adjustRightInd/>
        <w:snapToGrid/>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highlight w:val="none"/>
        </w:rPr>
      </w:pPr>
      <w:r>
        <w:rPr>
          <w:rFonts w:hint="eastAsia"/>
          <w:color w:val="auto"/>
          <w:highlight w:val="none"/>
        </w:rPr>
        <w:t>附件：1、长沙市开福区碳达峰实施方案重点事项清单</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color w:val="auto"/>
          <w:highlight w:val="none"/>
        </w:rPr>
        <w:sectPr>
          <w:footerReference r:id="rId11" w:type="default"/>
          <w:pgSz w:w="11906" w:h="16838"/>
          <w:pgMar w:top="1440" w:right="1800" w:bottom="1440" w:left="1800" w:header="851" w:footer="992" w:gutter="0"/>
          <w:pgNumType w:fmt="decimal" w:start="1"/>
          <w:cols w:space="425" w:num="1"/>
          <w:docGrid w:type="lines" w:linePitch="312" w:charSpace="0"/>
        </w:sectPr>
      </w:pPr>
      <w:r>
        <w:rPr>
          <w:rFonts w:hint="eastAsia"/>
          <w:color w:val="auto"/>
          <w:highlight w:val="none"/>
        </w:rPr>
        <w:t>2、长沙市开福区碳达峰重点项目清单</w:t>
      </w:r>
    </w:p>
    <w:p>
      <w:pPr>
        <w:spacing w:line="360" w:lineRule="auto"/>
        <w:ind w:left="0" w:leftChars="0" w:firstLine="0" w:firstLineChars="0"/>
        <w:jc w:val="both"/>
        <w:outlineLvl w:val="0"/>
        <w:rPr>
          <w:rFonts w:hint="eastAsia" w:ascii="宋体" w:hAnsi="宋体" w:eastAsia="宋体" w:cs="宋体"/>
          <w:b w:val="0"/>
          <w:bCs w:val="0"/>
          <w:color w:val="auto"/>
          <w:sz w:val="32"/>
          <w:szCs w:val="32"/>
          <w:highlight w:val="none"/>
        </w:rPr>
      </w:pPr>
      <w:bookmarkStart w:id="32" w:name="_Toc15299"/>
      <w:r>
        <w:rPr>
          <w:rFonts w:hint="eastAsia" w:ascii="宋体" w:hAnsi="宋体" w:eastAsia="宋体" w:cs="宋体"/>
          <w:b w:val="0"/>
          <w:bCs w:val="0"/>
          <w:color w:val="auto"/>
          <w:sz w:val="32"/>
          <w:szCs w:val="32"/>
          <w:highlight w:val="none"/>
          <w:lang w:val="en-US" w:eastAsia="zh-CN"/>
        </w:rPr>
        <w:t>附件1</w:t>
      </w:r>
      <w:bookmarkEnd w:id="32"/>
      <w:bookmarkStart w:id="33" w:name="_Toc2320"/>
      <w:r>
        <w:rPr>
          <w:rFonts w:hint="eastAsia" w:ascii="宋体" w:hAnsi="宋体" w:eastAsia="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rPr>
        <w:t>长沙市开福区碳达峰实施方案重点事项清单</w:t>
      </w:r>
      <w:bookmarkEnd w:id="33"/>
    </w:p>
    <w:tbl>
      <w:tblPr>
        <w:tblStyle w:val="18"/>
        <w:tblW w:w="1425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98"/>
        <w:gridCol w:w="3411"/>
        <w:gridCol w:w="2444"/>
        <w:gridCol w:w="4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blHeader/>
        </w:trPr>
        <w:tc>
          <w:tcPr>
            <w:tcW w:w="710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目标任务</w:t>
            </w:r>
          </w:p>
        </w:tc>
        <w:tc>
          <w:tcPr>
            <w:tcW w:w="24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牵头单位</w:t>
            </w:r>
          </w:p>
        </w:tc>
        <w:tc>
          <w:tcPr>
            <w:tcW w:w="4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4258" w:type="dxa"/>
            <w:gridSpan w:val="4"/>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一、总体目标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（一）到</w:t>
            </w:r>
            <w:r>
              <w:rPr>
                <w:rStyle w:val="28"/>
                <w:rFonts w:hint="eastAsia" w:ascii="仿宋" w:hAnsi="仿宋" w:eastAsia="仿宋" w:cs="仿宋_GB2312"/>
                <w:color w:val="auto"/>
                <w:sz w:val="24"/>
                <w:szCs w:val="24"/>
                <w:highlight w:val="none"/>
                <w:lang w:val="en-US" w:eastAsia="zh-CN" w:bidi="ar"/>
              </w:rPr>
              <w:t>2025</w:t>
            </w:r>
            <w:r>
              <w:rPr>
                <w:rStyle w:val="27"/>
                <w:rFonts w:hint="eastAsia" w:ascii="仿宋" w:hAnsi="仿宋" w:eastAsia="仿宋" w:cs="仿宋_GB2312"/>
                <w:color w:val="auto"/>
                <w:sz w:val="24"/>
                <w:szCs w:val="24"/>
                <w:highlight w:val="none"/>
                <w:lang w:val="en-US" w:eastAsia="zh-CN" w:bidi="ar"/>
              </w:rPr>
              <w:t>年，我区产业结构和能源结构进一步优化</w:t>
            </w:r>
          </w:p>
        </w:tc>
        <w:tc>
          <w:tcPr>
            <w:tcW w:w="34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到</w:t>
            </w:r>
            <w:r>
              <w:rPr>
                <w:rStyle w:val="28"/>
                <w:rFonts w:hint="eastAsia" w:ascii="仿宋" w:hAnsi="仿宋" w:eastAsia="仿宋" w:cs="仿宋_GB2312"/>
                <w:color w:val="auto"/>
                <w:sz w:val="24"/>
                <w:szCs w:val="24"/>
                <w:highlight w:val="none"/>
                <w:lang w:val="en-US" w:eastAsia="zh-CN" w:bidi="ar"/>
              </w:rPr>
              <w:t>2025</w:t>
            </w:r>
            <w:r>
              <w:rPr>
                <w:rStyle w:val="27"/>
                <w:rFonts w:hint="eastAsia" w:ascii="仿宋" w:hAnsi="仿宋" w:eastAsia="仿宋" w:cs="仿宋_GB2312"/>
                <w:color w:val="auto"/>
                <w:sz w:val="24"/>
                <w:szCs w:val="24"/>
                <w:highlight w:val="none"/>
                <w:lang w:val="en-US" w:eastAsia="zh-CN" w:bidi="ar"/>
              </w:rPr>
              <w:t>年，单位</w:t>
            </w:r>
            <w:r>
              <w:rPr>
                <w:rStyle w:val="28"/>
                <w:rFonts w:hint="eastAsia" w:ascii="仿宋" w:hAnsi="仿宋" w:eastAsia="仿宋" w:cs="仿宋_GB2312"/>
                <w:color w:val="auto"/>
                <w:sz w:val="24"/>
                <w:szCs w:val="24"/>
                <w:highlight w:val="none"/>
                <w:lang w:val="en-US" w:eastAsia="zh-CN" w:bidi="ar"/>
              </w:rPr>
              <w:t>GDP</w:t>
            </w:r>
            <w:r>
              <w:rPr>
                <w:rStyle w:val="27"/>
                <w:rFonts w:hint="eastAsia" w:ascii="仿宋" w:hAnsi="仿宋" w:eastAsia="仿宋" w:cs="仿宋_GB2312"/>
                <w:color w:val="auto"/>
                <w:sz w:val="24"/>
                <w:szCs w:val="24"/>
                <w:highlight w:val="none"/>
                <w:lang w:val="en-US" w:eastAsia="zh-CN" w:bidi="ar"/>
              </w:rPr>
              <w:t>能耗比</w:t>
            </w:r>
            <w:r>
              <w:rPr>
                <w:rStyle w:val="28"/>
                <w:rFonts w:hint="eastAsia" w:ascii="仿宋" w:hAnsi="仿宋" w:eastAsia="仿宋" w:cs="仿宋_GB2312"/>
                <w:color w:val="auto"/>
                <w:sz w:val="24"/>
                <w:szCs w:val="24"/>
                <w:highlight w:val="none"/>
                <w:lang w:val="en-US" w:eastAsia="zh-CN" w:bidi="ar"/>
              </w:rPr>
              <w:t>2020</w:t>
            </w:r>
            <w:r>
              <w:rPr>
                <w:rStyle w:val="27"/>
                <w:rFonts w:hint="eastAsia" w:ascii="仿宋" w:hAnsi="仿宋" w:eastAsia="仿宋" w:cs="仿宋_GB2312"/>
                <w:color w:val="auto"/>
                <w:sz w:val="24"/>
                <w:szCs w:val="24"/>
                <w:highlight w:val="none"/>
                <w:lang w:val="en-US" w:eastAsia="zh-CN" w:bidi="ar"/>
              </w:rPr>
              <w:t>年下降</w:t>
            </w:r>
            <w:r>
              <w:rPr>
                <w:rStyle w:val="28"/>
                <w:rFonts w:hint="eastAsia" w:ascii="仿宋" w:hAnsi="仿宋" w:eastAsia="仿宋" w:cs="仿宋_GB2312"/>
                <w:color w:val="auto"/>
                <w:sz w:val="24"/>
                <w:szCs w:val="24"/>
                <w:highlight w:val="none"/>
                <w:lang w:val="en-US" w:eastAsia="zh-CN" w:bidi="ar"/>
              </w:rPr>
              <w:t>15%，非化石能源消费比重提高至20%以上</w:t>
            </w:r>
            <w:r>
              <w:rPr>
                <w:rStyle w:val="27"/>
                <w:rFonts w:hint="eastAsia" w:ascii="仿宋" w:hAnsi="仿宋" w:eastAsia="仿宋" w:cs="仿宋_GB2312"/>
                <w:color w:val="auto"/>
                <w:sz w:val="24"/>
                <w:szCs w:val="24"/>
                <w:highlight w:val="none"/>
                <w:lang w:val="en-US" w:eastAsia="zh-CN" w:bidi="ar"/>
              </w:rPr>
              <w:t>。</w:t>
            </w:r>
          </w:p>
        </w:tc>
        <w:tc>
          <w:tcPr>
            <w:tcW w:w="24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区发展和改革局</w:t>
            </w:r>
          </w:p>
        </w:tc>
        <w:tc>
          <w:tcPr>
            <w:tcW w:w="4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马栏山（长沙）视频文创园管理委员会、长沙金霞经济开发区管理委员会、各街道、社区（村）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（二）到</w:t>
            </w:r>
            <w:r>
              <w:rPr>
                <w:rStyle w:val="28"/>
                <w:rFonts w:hint="eastAsia" w:ascii="仿宋" w:hAnsi="仿宋" w:eastAsia="仿宋" w:cs="仿宋_GB2312"/>
                <w:color w:val="auto"/>
                <w:sz w:val="24"/>
                <w:szCs w:val="24"/>
                <w:highlight w:val="none"/>
                <w:lang w:val="en-US" w:eastAsia="zh-CN" w:bidi="ar"/>
              </w:rPr>
              <w:t>2025</w:t>
            </w:r>
            <w:r>
              <w:rPr>
                <w:rStyle w:val="27"/>
                <w:rFonts w:hint="eastAsia" w:ascii="仿宋" w:hAnsi="仿宋" w:eastAsia="仿宋" w:cs="仿宋_GB2312"/>
                <w:color w:val="auto"/>
                <w:sz w:val="24"/>
                <w:szCs w:val="24"/>
                <w:highlight w:val="none"/>
                <w:lang w:val="en-US" w:eastAsia="zh-CN" w:bidi="ar"/>
              </w:rPr>
              <w:t>年，生产生活方式绿色转型成效明显</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到</w:t>
            </w:r>
            <w:r>
              <w:rPr>
                <w:rStyle w:val="28"/>
                <w:rFonts w:hint="eastAsia" w:ascii="仿宋" w:hAnsi="仿宋" w:eastAsia="仿宋" w:cs="仿宋_GB2312"/>
                <w:color w:val="auto"/>
                <w:sz w:val="24"/>
                <w:szCs w:val="24"/>
                <w:highlight w:val="none"/>
                <w:lang w:val="en-US" w:eastAsia="zh-CN" w:bidi="ar"/>
              </w:rPr>
              <w:t>2025</w:t>
            </w:r>
            <w:r>
              <w:rPr>
                <w:rStyle w:val="27"/>
                <w:rFonts w:hint="eastAsia" w:ascii="仿宋" w:hAnsi="仿宋" w:eastAsia="仿宋" w:cs="仿宋_GB2312"/>
                <w:color w:val="auto"/>
                <w:sz w:val="24"/>
                <w:szCs w:val="24"/>
                <w:highlight w:val="none"/>
                <w:lang w:val="en-US" w:eastAsia="zh-CN" w:bidi="ar"/>
              </w:rPr>
              <w:t>年，单位</w:t>
            </w:r>
            <w:r>
              <w:rPr>
                <w:rStyle w:val="28"/>
                <w:rFonts w:hint="eastAsia" w:ascii="仿宋" w:hAnsi="仿宋" w:eastAsia="仿宋" w:cs="仿宋_GB2312"/>
                <w:color w:val="auto"/>
                <w:sz w:val="24"/>
                <w:szCs w:val="24"/>
                <w:highlight w:val="none"/>
                <w:lang w:val="en-US" w:eastAsia="zh-CN" w:bidi="ar"/>
              </w:rPr>
              <w:t>GDP</w:t>
            </w:r>
            <w:r>
              <w:rPr>
                <w:rStyle w:val="27"/>
                <w:rFonts w:hint="eastAsia" w:ascii="仿宋" w:hAnsi="仿宋" w:eastAsia="仿宋" w:cs="仿宋_GB2312"/>
                <w:color w:val="auto"/>
                <w:sz w:val="24"/>
                <w:szCs w:val="24"/>
                <w:highlight w:val="none"/>
                <w:lang w:val="en-US" w:eastAsia="zh-CN" w:bidi="ar"/>
              </w:rPr>
              <w:t>二氧化碳排放下降率完成市下达目标任务。</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市生态环境</w:t>
            </w:r>
            <w:r>
              <w:rPr>
                <w:rFonts w:hint="eastAsia" w:ascii="仿宋" w:hAnsi="仿宋" w:eastAsia="仿宋" w:cs="仿宋_GB2312"/>
                <w:i w:val="0"/>
                <w:iCs w:val="0"/>
                <w:color w:val="auto"/>
                <w:kern w:val="0"/>
                <w:sz w:val="24"/>
                <w:szCs w:val="24"/>
                <w:highlight w:val="none"/>
                <w:u w:val="none"/>
                <w:lang w:val="en-US" w:eastAsia="zh-CN" w:bidi="ar"/>
              </w:rPr>
              <w:t>局开福分局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马栏山（长沙）视频文创园管理委员会、长沙金霞经济开发区管理委员会、各街道、社区（村）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（三）</w:t>
            </w:r>
            <w:r>
              <w:rPr>
                <w:rStyle w:val="28"/>
                <w:rFonts w:hint="eastAsia" w:ascii="仿宋" w:hAnsi="仿宋" w:eastAsia="仿宋" w:cs="仿宋_GB2312"/>
                <w:color w:val="auto"/>
                <w:sz w:val="24"/>
                <w:szCs w:val="24"/>
                <w:highlight w:val="none"/>
                <w:lang w:val="en-US" w:eastAsia="zh-CN" w:bidi="ar"/>
              </w:rPr>
              <w:t>2025</w:t>
            </w:r>
            <w:r>
              <w:rPr>
                <w:rStyle w:val="27"/>
                <w:rFonts w:hint="eastAsia" w:ascii="仿宋" w:hAnsi="仿宋" w:eastAsia="仿宋" w:cs="仿宋_GB2312"/>
                <w:color w:val="auto"/>
                <w:sz w:val="24"/>
                <w:szCs w:val="24"/>
                <w:highlight w:val="none"/>
                <w:lang w:val="en-US" w:eastAsia="zh-CN" w:bidi="ar"/>
              </w:rPr>
              <w:t>年森林覆盖率和蓄积量指标</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森林覆盖率</w:t>
            </w:r>
            <w:r>
              <w:rPr>
                <w:rStyle w:val="27"/>
                <w:rFonts w:hint="eastAsia" w:ascii="仿宋" w:hAnsi="仿宋" w:eastAsia="仿宋" w:cs="仿宋_GB2312"/>
                <w:color w:val="auto"/>
                <w:sz w:val="24"/>
                <w:szCs w:val="24"/>
                <w:highlight w:val="none"/>
                <w:vertAlign w:val="superscript"/>
                <w:lang w:val="en-US" w:eastAsia="zh-CN" w:bidi="ar"/>
              </w:rPr>
              <w:t>1</w:t>
            </w:r>
            <w:r>
              <w:rPr>
                <w:rStyle w:val="27"/>
                <w:rFonts w:hint="eastAsia" w:ascii="仿宋" w:hAnsi="仿宋" w:eastAsia="仿宋" w:cs="仿宋_GB2312"/>
                <w:color w:val="auto"/>
                <w:sz w:val="24"/>
                <w:szCs w:val="24"/>
                <w:highlight w:val="none"/>
                <w:lang w:val="en-US" w:eastAsia="zh-CN" w:bidi="ar"/>
              </w:rPr>
              <w:t>稳定在</w:t>
            </w:r>
            <w:r>
              <w:rPr>
                <w:rStyle w:val="28"/>
                <w:rFonts w:hint="eastAsia" w:ascii="仿宋" w:hAnsi="仿宋" w:eastAsia="仿宋" w:cs="仿宋_GB2312"/>
                <w:color w:val="auto"/>
                <w:sz w:val="24"/>
                <w:szCs w:val="24"/>
                <w:highlight w:val="none"/>
                <w:lang w:val="en-US" w:eastAsia="zh-CN" w:bidi="ar"/>
              </w:rPr>
              <w:t>15.38%左右</w:t>
            </w:r>
            <w:r>
              <w:rPr>
                <w:rStyle w:val="27"/>
                <w:rFonts w:hint="eastAsia" w:ascii="仿宋" w:hAnsi="仿宋" w:eastAsia="仿宋" w:cs="仿宋_GB2312"/>
                <w:color w:val="auto"/>
                <w:sz w:val="24"/>
                <w:szCs w:val="24"/>
                <w:highlight w:val="none"/>
                <w:lang w:val="en-US" w:eastAsia="zh-CN" w:bidi="ar"/>
              </w:rPr>
              <w:t>，森林蓄积量达</w:t>
            </w:r>
            <w:r>
              <w:rPr>
                <w:rStyle w:val="28"/>
                <w:rFonts w:hint="eastAsia" w:ascii="仿宋" w:hAnsi="仿宋" w:eastAsia="仿宋" w:cs="仿宋_GB2312"/>
                <w:color w:val="auto"/>
                <w:sz w:val="24"/>
                <w:szCs w:val="24"/>
                <w:highlight w:val="none"/>
                <w:lang w:val="en-US" w:eastAsia="zh-CN" w:bidi="ar"/>
              </w:rPr>
              <w:t>51</w:t>
            </w:r>
            <w:r>
              <w:rPr>
                <w:rStyle w:val="27"/>
                <w:rFonts w:hint="eastAsia" w:ascii="仿宋" w:hAnsi="仿宋" w:eastAsia="仿宋" w:cs="仿宋_GB2312"/>
                <w:color w:val="auto"/>
                <w:sz w:val="24"/>
                <w:szCs w:val="24"/>
                <w:highlight w:val="none"/>
                <w:lang w:val="en-US" w:eastAsia="zh-CN" w:bidi="ar"/>
              </w:rPr>
              <w:t>万立方米。</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区农业农村局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市自然资源和规划局开福区分局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（四）到</w:t>
            </w:r>
            <w:r>
              <w:rPr>
                <w:rStyle w:val="28"/>
                <w:rFonts w:hint="eastAsia" w:ascii="仿宋" w:hAnsi="仿宋" w:eastAsia="仿宋" w:cs="仿宋_GB2312"/>
                <w:color w:val="auto"/>
                <w:sz w:val="24"/>
                <w:szCs w:val="24"/>
                <w:highlight w:val="none"/>
                <w:lang w:val="en-US" w:eastAsia="zh-CN" w:bidi="ar"/>
              </w:rPr>
              <w:t>2030</w:t>
            </w:r>
            <w:r>
              <w:rPr>
                <w:rStyle w:val="27"/>
                <w:rFonts w:hint="eastAsia" w:ascii="仿宋" w:hAnsi="仿宋" w:eastAsia="仿宋" w:cs="仿宋_GB2312"/>
                <w:color w:val="auto"/>
                <w:sz w:val="24"/>
                <w:szCs w:val="24"/>
                <w:highlight w:val="none"/>
                <w:lang w:val="en-US" w:eastAsia="zh-CN" w:bidi="ar"/>
              </w:rPr>
              <w:t>年，产业结构优化取得明显进展，清洁低碳、安全高效的现代能源体系初步建立</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单位GDP能耗下降率完成市下达目标任务，非化石能源消费比重提高至22%以上。</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区发展和改革局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马栏山（长沙）视频文创园管理委员会、长沙金霞经济开发区管理委员会、各街道、社区（村）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（五）到</w:t>
            </w:r>
            <w:r>
              <w:rPr>
                <w:rStyle w:val="28"/>
                <w:rFonts w:hint="eastAsia" w:ascii="仿宋" w:hAnsi="仿宋" w:eastAsia="仿宋" w:cs="仿宋_GB2312"/>
                <w:color w:val="auto"/>
                <w:sz w:val="24"/>
                <w:szCs w:val="24"/>
                <w:highlight w:val="none"/>
                <w:lang w:val="en-US" w:eastAsia="zh-CN" w:bidi="ar"/>
              </w:rPr>
              <w:t>2030</w:t>
            </w:r>
            <w:r>
              <w:rPr>
                <w:rStyle w:val="27"/>
                <w:rFonts w:hint="eastAsia" w:ascii="仿宋" w:hAnsi="仿宋" w:eastAsia="仿宋" w:cs="仿宋_GB2312"/>
                <w:color w:val="auto"/>
                <w:sz w:val="24"/>
                <w:szCs w:val="24"/>
                <w:highlight w:val="none"/>
                <w:lang w:val="en-US" w:eastAsia="zh-CN" w:bidi="ar"/>
              </w:rPr>
              <w:t>年，绿色生产生活方式广泛形成</w:t>
            </w:r>
          </w:p>
        </w:tc>
        <w:tc>
          <w:tcPr>
            <w:tcW w:w="3411"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单位</w:t>
            </w:r>
            <w:r>
              <w:rPr>
                <w:rStyle w:val="28"/>
                <w:rFonts w:hint="eastAsia" w:ascii="仿宋" w:hAnsi="仿宋" w:eastAsia="仿宋" w:cs="仿宋_GB2312"/>
                <w:color w:val="auto"/>
                <w:sz w:val="24"/>
                <w:szCs w:val="24"/>
                <w:highlight w:val="none"/>
                <w:lang w:val="en-US" w:eastAsia="zh-CN" w:bidi="ar"/>
              </w:rPr>
              <w:t>GDP</w:t>
            </w:r>
            <w:r>
              <w:rPr>
                <w:rStyle w:val="27"/>
                <w:rFonts w:hint="eastAsia" w:ascii="仿宋" w:hAnsi="仿宋" w:eastAsia="仿宋" w:cs="仿宋_GB2312"/>
                <w:color w:val="auto"/>
                <w:sz w:val="24"/>
                <w:szCs w:val="24"/>
                <w:highlight w:val="none"/>
                <w:lang w:val="en-US" w:eastAsia="zh-CN" w:bidi="ar"/>
              </w:rPr>
              <w:t>二氧化碳排放下降率完成市下达目标任务，二氧化碳排放达峰。</w:t>
            </w:r>
          </w:p>
        </w:tc>
        <w:tc>
          <w:tcPr>
            <w:tcW w:w="2444"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市生态环境局开福分局</w:t>
            </w:r>
          </w:p>
        </w:tc>
        <w:tc>
          <w:tcPr>
            <w:tcW w:w="470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马栏山（长沙）视频文创园管理委员会、长沙金霞经济开发区管理委员会、区发展和改革局、区工业和信息化局、区住房和城乡建设局、区交通运输局、区农业农村局、区文化旅游体育局、区市场监督管理局、区城市管理和综合执法局、区机关事务中心、各街道、社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2444"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4705"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（六）</w:t>
            </w:r>
            <w:r>
              <w:rPr>
                <w:rStyle w:val="28"/>
                <w:rFonts w:hint="eastAsia" w:ascii="仿宋" w:hAnsi="仿宋" w:eastAsia="仿宋" w:cs="仿宋_GB2312"/>
                <w:color w:val="auto"/>
                <w:sz w:val="24"/>
                <w:szCs w:val="24"/>
                <w:highlight w:val="none"/>
                <w:lang w:val="en-US" w:eastAsia="zh-CN" w:bidi="ar"/>
              </w:rPr>
              <w:t>2030</w:t>
            </w:r>
            <w:r>
              <w:rPr>
                <w:rStyle w:val="27"/>
                <w:rFonts w:hint="eastAsia" w:ascii="仿宋" w:hAnsi="仿宋" w:eastAsia="仿宋" w:cs="仿宋_GB2312"/>
                <w:color w:val="auto"/>
                <w:sz w:val="24"/>
                <w:szCs w:val="24"/>
                <w:highlight w:val="none"/>
                <w:lang w:val="en-US" w:eastAsia="zh-CN" w:bidi="ar"/>
              </w:rPr>
              <w:t>年森林覆盖率和蓄积量指标</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森林覆盖率</w:t>
            </w:r>
            <w:r>
              <w:rPr>
                <w:rStyle w:val="27"/>
                <w:rFonts w:hint="eastAsia" w:ascii="仿宋" w:hAnsi="仿宋" w:eastAsia="仿宋" w:cs="仿宋_GB2312"/>
                <w:color w:val="auto"/>
                <w:sz w:val="24"/>
                <w:szCs w:val="24"/>
                <w:highlight w:val="none"/>
                <w:vertAlign w:val="superscript"/>
                <w:lang w:val="en-US" w:eastAsia="zh-CN" w:bidi="ar"/>
              </w:rPr>
              <w:t>1</w:t>
            </w:r>
            <w:r>
              <w:rPr>
                <w:rStyle w:val="27"/>
                <w:rFonts w:hint="eastAsia" w:ascii="仿宋" w:hAnsi="仿宋" w:eastAsia="仿宋" w:cs="仿宋_GB2312"/>
                <w:color w:val="auto"/>
                <w:sz w:val="24"/>
                <w:szCs w:val="24"/>
                <w:highlight w:val="none"/>
                <w:lang w:val="en-US" w:eastAsia="zh-CN" w:bidi="ar"/>
              </w:rPr>
              <w:t>稳定在15.38</w:t>
            </w:r>
            <w:r>
              <w:rPr>
                <w:rStyle w:val="28"/>
                <w:rFonts w:hint="eastAsia" w:ascii="仿宋" w:hAnsi="仿宋" w:eastAsia="仿宋" w:cs="仿宋_GB2312"/>
                <w:color w:val="auto"/>
                <w:sz w:val="24"/>
                <w:szCs w:val="24"/>
                <w:highlight w:val="none"/>
                <w:lang w:val="en-US" w:eastAsia="zh-CN" w:bidi="ar"/>
              </w:rPr>
              <w:t>%左右</w:t>
            </w:r>
            <w:r>
              <w:rPr>
                <w:rStyle w:val="27"/>
                <w:rFonts w:hint="eastAsia" w:ascii="仿宋" w:hAnsi="仿宋" w:eastAsia="仿宋" w:cs="仿宋_GB2312"/>
                <w:color w:val="auto"/>
                <w:sz w:val="24"/>
                <w:szCs w:val="24"/>
                <w:highlight w:val="none"/>
                <w:lang w:val="en-US" w:eastAsia="zh-CN" w:bidi="ar"/>
              </w:rPr>
              <w:t>，森林蓄积量达</w:t>
            </w:r>
            <w:r>
              <w:rPr>
                <w:rStyle w:val="28"/>
                <w:rFonts w:hint="eastAsia" w:ascii="仿宋" w:hAnsi="仿宋" w:eastAsia="仿宋" w:cs="仿宋_GB2312"/>
                <w:color w:val="auto"/>
                <w:sz w:val="24"/>
                <w:szCs w:val="24"/>
                <w:highlight w:val="none"/>
                <w:lang w:val="en-US" w:eastAsia="zh-CN" w:bidi="ar"/>
              </w:rPr>
              <w:t>60</w:t>
            </w:r>
            <w:r>
              <w:rPr>
                <w:rStyle w:val="27"/>
                <w:rFonts w:hint="eastAsia" w:ascii="仿宋" w:hAnsi="仿宋" w:eastAsia="仿宋" w:cs="仿宋_GB2312"/>
                <w:color w:val="auto"/>
                <w:sz w:val="24"/>
                <w:szCs w:val="24"/>
                <w:highlight w:val="none"/>
                <w:lang w:val="en-US" w:eastAsia="zh-CN" w:bidi="ar"/>
              </w:rPr>
              <w:t>万立方米。</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区农业农村局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市自然资源和规划局开福区分局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4258" w:type="dxa"/>
            <w:gridSpan w:val="4"/>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二、重点任务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（一）推动产业绿色低碳发展</w:t>
            </w:r>
          </w:p>
        </w:tc>
        <w:tc>
          <w:tcPr>
            <w:tcW w:w="34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．培育绿色低碳新兴产业。</w:t>
            </w:r>
          </w:p>
        </w:tc>
        <w:tc>
          <w:tcPr>
            <w:tcW w:w="24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lang w:val="en-US" w:eastAsia="zh-CN"/>
              </w:rPr>
            </w:pPr>
            <w:r>
              <w:rPr>
                <w:rFonts w:hint="eastAsia" w:ascii="仿宋" w:hAnsi="仿宋" w:eastAsia="仿宋" w:cs="仿宋_GB2312"/>
                <w:i w:val="0"/>
                <w:iCs w:val="0"/>
                <w:color w:val="auto"/>
                <w:sz w:val="24"/>
                <w:szCs w:val="24"/>
                <w:highlight w:val="none"/>
                <w:u w:val="none"/>
                <w:lang w:val="en-US" w:eastAsia="zh-CN"/>
              </w:rPr>
              <w:t>/</w:t>
            </w:r>
          </w:p>
        </w:tc>
        <w:tc>
          <w:tcPr>
            <w:tcW w:w="4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lang w:eastAsia="zh-CN"/>
              </w:rPr>
            </w:pPr>
            <w:r>
              <w:rPr>
                <w:rFonts w:hint="eastAsia" w:ascii="仿宋" w:hAnsi="仿宋" w:eastAsia="仿宋" w:cs="仿宋_GB2312"/>
                <w:i w:val="0"/>
                <w:iCs w:val="0"/>
                <w:color w:val="auto"/>
                <w:sz w:val="24"/>
                <w:szCs w:val="24"/>
                <w:highlight w:val="none"/>
                <w:u w:val="none"/>
                <w:lang w:eastAsia="zh-CN"/>
              </w:rPr>
              <w:t>马栏山(长沙)视频文创管理委员会、长沙金霞</w:t>
            </w:r>
            <w:r>
              <w:rPr>
                <w:rFonts w:hint="eastAsia" w:ascii="仿宋" w:hAnsi="仿宋" w:eastAsia="仿宋" w:cs="仿宋_GB2312"/>
                <w:i w:val="0"/>
                <w:iCs w:val="0"/>
                <w:color w:val="auto"/>
                <w:sz w:val="24"/>
                <w:szCs w:val="24"/>
                <w:highlight w:val="none"/>
                <w:u w:val="none"/>
                <w:lang w:val="en-US" w:eastAsia="zh-CN"/>
              </w:rPr>
              <w:t>经济开发区管理委员</w:t>
            </w:r>
            <w:r>
              <w:rPr>
                <w:rFonts w:hint="eastAsia" w:ascii="仿宋" w:hAnsi="仿宋" w:eastAsia="仿宋" w:cs="仿宋_GB2312"/>
                <w:i w:val="0"/>
                <w:iCs w:val="0"/>
                <w:color w:val="auto"/>
                <w:sz w:val="24"/>
                <w:szCs w:val="24"/>
                <w:highlight w:val="none"/>
                <w:u w:val="none"/>
                <w:lang w:eastAsia="zh-CN"/>
              </w:rPr>
              <w:t>会、区交通运输局、区工业和信息化局、区商务局、区文化旅游体育局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．推动制造业绿色高质量发展。</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区工业和信息化局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马栏山（</w:t>
            </w:r>
            <w:r>
              <w:rPr>
                <w:rFonts w:hint="eastAsia" w:ascii="仿宋" w:hAnsi="仿宋" w:eastAsia="仿宋" w:cs="仿宋_GB2312"/>
                <w:i w:val="0"/>
                <w:iCs w:val="0"/>
                <w:color w:val="auto"/>
                <w:sz w:val="24"/>
                <w:szCs w:val="24"/>
                <w:highlight w:val="none"/>
                <w:u w:val="none"/>
                <w:lang w:eastAsia="zh-CN"/>
              </w:rPr>
              <w:t>长沙）</w:t>
            </w:r>
            <w:r>
              <w:rPr>
                <w:rFonts w:hint="eastAsia" w:ascii="仿宋" w:hAnsi="仿宋" w:eastAsia="仿宋" w:cs="仿宋_GB2312"/>
                <w:i w:val="0"/>
                <w:iCs w:val="0"/>
                <w:color w:val="auto"/>
                <w:sz w:val="24"/>
                <w:szCs w:val="24"/>
                <w:highlight w:val="none"/>
                <w:u w:val="none"/>
              </w:rPr>
              <w:t>视频文创园管理委员会、长沙金霞经济开发区管理委员会、区发展和改革局、区科学技术局、区住房和城乡建设局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3</w:t>
            </w:r>
            <w:r>
              <w:rPr>
                <w:rStyle w:val="27"/>
                <w:rFonts w:hint="eastAsia" w:ascii="仿宋" w:hAnsi="仿宋" w:eastAsia="仿宋" w:cs="仿宋_GB2312"/>
                <w:color w:val="auto"/>
                <w:sz w:val="24"/>
                <w:szCs w:val="24"/>
                <w:highlight w:val="none"/>
                <w:lang w:val="en-US" w:eastAsia="zh-CN" w:bidi="ar"/>
              </w:rPr>
              <w:t>．</w:t>
            </w:r>
            <w:r>
              <w:rPr>
                <w:rStyle w:val="29"/>
                <w:rFonts w:hint="eastAsia" w:ascii="仿宋" w:hAnsi="仿宋" w:eastAsia="仿宋" w:cs="仿宋_GB2312"/>
                <w:color w:val="auto"/>
                <w:sz w:val="24"/>
                <w:szCs w:val="24"/>
                <w:highlight w:val="none"/>
                <w:lang w:val="en-US" w:eastAsia="zh-CN" w:bidi="ar"/>
              </w:rPr>
              <w:t>改造提升传统制造产业</w:t>
            </w:r>
            <w:r>
              <w:rPr>
                <w:rStyle w:val="27"/>
                <w:rFonts w:hint="eastAsia" w:ascii="仿宋" w:hAnsi="仿宋" w:eastAsia="仿宋" w:cs="仿宋_GB2312"/>
                <w:color w:val="auto"/>
                <w:sz w:val="24"/>
                <w:szCs w:val="24"/>
                <w:highlight w:val="none"/>
                <w:lang w:val="en-US" w:eastAsia="zh-CN" w:bidi="ar"/>
              </w:rPr>
              <w:t>。</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区工业和信息化局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lang w:eastAsia="zh-CN"/>
              </w:rPr>
              <w:t>长沙金霞经济开发区管理委员会</w:t>
            </w:r>
            <w:r>
              <w:rPr>
                <w:rFonts w:hint="eastAsia" w:ascii="仿宋" w:hAnsi="仿宋" w:eastAsia="仿宋" w:cs="仿宋_GB2312"/>
                <w:i w:val="0"/>
                <w:iCs w:val="0"/>
                <w:color w:val="auto"/>
                <w:sz w:val="24"/>
                <w:szCs w:val="24"/>
                <w:highlight w:val="none"/>
                <w:u w:val="none"/>
              </w:rPr>
              <w:t>、区发展和改革局、区市场监督管理局、市生态环境局开福分局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（二）构建低碳安全高效的能源体系</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．积极推进清洁能源利用。</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区发展和改革局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区工业和信息化局、区住房和城乡建设局、区农业农村局、市自然资源和规划局开福区分局、市生态环境局开福分局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．合理调控成品油消费。</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lang w:val="en-US" w:eastAsia="zh-CN"/>
              </w:rPr>
            </w:pPr>
            <w:r>
              <w:rPr>
                <w:rFonts w:hint="eastAsia" w:ascii="仿宋" w:hAnsi="仿宋" w:eastAsia="仿宋" w:cs="仿宋_GB2312"/>
                <w:i w:val="0"/>
                <w:iCs w:val="0"/>
                <w:color w:val="auto"/>
                <w:sz w:val="24"/>
                <w:szCs w:val="24"/>
                <w:highlight w:val="none"/>
                <w:u w:val="none"/>
                <w:lang w:val="en-US" w:eastAsia="zh-CN"/>
              </w:rPr>
              <w:t>/</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仿宋" w:hAnsi="仿宋" w:eastAsia="仿宋" w:cs="仿宋_GB2312"/>
                <w:i w:val="0"/>
                <w:iCs w:val="0"/>
                <w:color w:val="auto"/>
                <w:sz w:val="24"/>
                <w:szCs w:val="24"/>
                <w:highlight w:val="none"/>
                <w:u w:val="none"/>
                <w:lang w:val="en-US" w:eastAsia="zh-CN"/>
              </w:rPr>
            </w:pPr>
            <w:r>
              <w:rPr>
                <w:rFonts w:hint="default" w:ascii="仿宋" w:hAnsi="仿宋" w:eastAsia="仿宋" w:cs="仿宋_GB2312"/>
                <w:i w:val="0"/>
                <w:iCs w:val="0"/>
                <w:color w:val="auto"/>
                <w:sz w:val="24"/>
                <w:szCs w:val="24"/>
                <w:highlight w:val="none"/>
                <w:u w:val="none"/>
                <w:lang w:val="en-US" w:eastAsia="zh-CN"/>
              </w:rPr>
              <w:t>区发展和改革局、区交通运输局、区商务局、区交警大队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3</w:t>
            </w:r>
            <w:r>
              <w:rPr>
                <w:rStyle w:val="27"/>
                <w:rFonts w:hint="eastAsia" w:ascii="仿宋" w:hAnsi="仿宋" w:eastAsia="仿宋" w:cs="仿宋_GB2312"/>
                <w:color w:val="auto"/>
                <w:sz w:val="24"/>
                <w:szCs w:val="24"/>
                <w:highlight w:val="none"/>
                <w:lang w:val="en-US" w:eastAsia="zh-CN" w:bidi="ar"/>
              </w:rPr>
              <w:t>．大力拓展天然气消费。</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区城市管理和综合执法局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4</w:t>
            </w:r>
            <w:r>
              <w:rPr>
                <w:rStyle w:val="27"/>
                <w:rFonts w:hint="eastAsia" w:ascii="仿宋" w:hAnsi="仿宋" w:eastAsia="仿宋" w:cs="仿宋_GB2312"/>
                <w:color w:val="auto"/>
                <w:sz w:val="24"/>
                <w:szCs w:val="24"/>
                <w:highlight w:val="none"/>
                <w:lang w:val="en-US" w:eastAsia="zh-CN" w:bidi="ar"/>
              </w:rPr>
              <w:t>．加快构建新型电力系统。</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区发展和改革局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仿宋" w:hAnsi="仿宋" w:eastAsia="仿宋" w:cs="仿宋_GB2312"/>
                <w:i w:val="0"/>
                <w:iCs w:val="0"/>
                <w:color w:val="auto"/>
                <w:sz w:val="24"/>
                <w:szCs w:val="24"/>
                <w:highlight w:val="none"/>
                <w:u w:val="none"/>
                <w:lang w:val="en-US"/>
              </w:rPr>
            </w:pPr>
            <w:r>
              <w:rPr>
                <w:rStyle w:val="27"/>
                <w:rFonts w:hint="eastAsia" w:ascii="仿宋" w:hAnsi="仿宋" w:eastAsia="仿宋" w:cs="仿宋_GB2312"/>
                <w:color w:val="auto"/>
                <w:sz w:val="24"/>
                <w:szCs w:val="24"/>
                <w:highlight w:val="none"/>
                <w:lang w:val="en-US" w:eastAsia="zh-CN" w:bidi="ar"/>
              </w:rPr>
              <w:t>区工业和信息化局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（三）提高能源利用效率</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．强化能耗双控管理。</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区发展和改革局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区工业和信息化局、区住房和城乡建设局、区交通运输局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．强化新型基础设施节能。</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lang w:val="en-US" w:eastAsia="zh-CN"/>
              </w:rPr>
            </w:pPr>
            <w:r>
              <w:rPr>
                <w:rFonts w:hint="eastAsia" w:ascii="仿宋" w:hAnsi="仿宋" w:eastAsia="仿宋" w:cs="仿宋_GB2312"/>
                <w:i w:val="0"/>
                <w:iCs w:val="0"/>
                <w:color w:val="auto"/>
                <w:sz w:val="24"/>
                <w:szCs w:val="24"/>
                <w:highlight w:val="none"/>
                <w:u w:val="none"/>
              </w:rPr>
              <w:t>区发展和改革局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区科学技术局、区工业和信息化局、区市场监督管理局、区数据资源中心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3</w:t>
            </w:r>
            <w:r>
              <w:rPr>
                <w:rStyle w:val="27"/>
                <w:rFonts w:hint="eastAsia" w:ascii="仿宋" w:hAnsi="仿宋" w:eastAsia="仿宋" w:cs="仿宋_GB2312"/>
                <w:color w:val="auto"/>
                <w:sz w:val="24"/>
                <w:szCs w:val="24"/>
                <w:highlight w:val="none"/>
                <w:lang w:val="en-US" w:eastAsia="zh-CN" w:bidi="ar"/>
              </w:rPr>
              <w:t>．坚决遏制高能耗高排放低水平项目盲目发展。</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区发展和改革局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仿宋" w:hAnsi="仿宋" w:eastAsia="仿宋" w:cs="仿宋_GB2312"/>
                <w:i w:val="0"/>
                <w:iCs w:val="0"/>
                <w:color w:val="auto"/>
                <w:sz w:val="24"/>
                <w:szCs w:val="24"/>
                <w:highlight w:val="none"/>
                <w:u w:val="none"/>
                <w:lang w:val="en-US" w:eastAsia="zh-CN"/>
              </w:rPr>
            </w:pPr>
            <w:r>
              <w:rPr>
                <w:rFonts w:hint="default" w:ascii="仿宋" w:hAnsi="仿宋" w:eastAsia="仿宋" w:cs="仿宋_GB2312"/>
                <w:i w:val="0"/>
                <w:iCs w:val="0"/>
                <w:color w:val="auto"/>
                <w:sz w:val="24"/>
                <w:szCs w:val="24"/>
                <w:highlight w:val="none"/>
                <w:u w:val="none"/>
                <w:lang w:val="en-US" w:eastAsia="zh-CN"/>
              </w:rPr>
              <w:t>马栏山(长沙)视频文创管理委员会、长沙金霞经济开发区管理委员会、区工业和信息化局、市生态环境局开福分局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（四）提高低碳集约建设水平</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．积极发展绿色建筑。</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区住房和城乡建设局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区科学技术局、市自然资源和规划局开福区分局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．引导绿色低碳建造方式。</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区住房和城乡建设局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区发展和改革局、区工业和信息化局、市自然资源和规划局开福区分局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3</w:t>
            </w:r>
            <w:r>
              <w:rPr>
                <w:rStyle w:val="27"/>
                <w:rFonts w:hint="eastAsia" w:ascii="仿宋" w:hAnsi="仿宋" w:eastAsia="仿宋" w:cs="仿宋_GB2312"/>
                <w:color w:val="auto"/>
                <w:sz w:val="24"/>
                <w:szCs w:val="24"/>
                <w:highlight w:val="none"/>
                <w:lang w:val="en-US" w:eastAsia="zh-CN" w:bidi="ar"/>
              </w:rPr>
              <w:t>．推进建筑用能结构优化。</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区住房和城乡建设局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lang w:eastAsia="zh-CN"/>
              </w:rPr>
            </w:pPr>
            <w:r>
              <w:rPr>
                <w:rFonts w:hint="eastAsia" w:ascii="仿宋" w:hAnsi="仿宋" w:eastAsia="仿宋" w:cs="仿宋_GB2312"/>
                <w:i w:val="0"/>
                <w:iCs w:val="0"/>
                <w:color w:val="auto"/>
                <w:sz w:val="24"/>
                <w:szCs w:val="24"/>
                <w:highlight w:val="none"/>
                <w:u w:val="none"/>
                <w:lang w:eastAsia="zh-CN"/>
              </w:rPr>
              <w:t>马栏山(长沙)视频文创管理委员会、长沙金霞经济开发区管理委员会、区发展和改革局、区科学技术局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4</w:t>
            </w:r>
            <w:r>
              <w:rPr>
                <w:rStyle w:val="27"/>
                <w:rFonts w:hint="eastAsia" w:ascii="仿宋" w:hAnsi="仿宋" w:eastAsia="仿宋" w:cs="仿宋_GB2312"/>
                <w:color w:val="auto"/>
                <w:sz w:val="24"/>
                <w:szCs w:val="24"/>
                <w:highlight w:val="none"/>
                <w:lang w:val="en-US" w:eastAsia="zh-CN" w:bidi="ar"/>
              </w:rPr>
              <w:t>．推进农村建设和用能低碳转型。</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lang w:eastAsia="zh-CN"/>
              </w:rPr>
            </w:pPr>
            <w:r>
              <w:rPr>
                <w:rFonts w:hint="eastAsia" w:ascii="仿宋" w:hAnsi="仿宋" w:eastAsia="仿宋" w:cs="仿宋_GB2312"/>
                <w:i w:val="0"/>
                <w:iCs w:val="0"/>
                <w:color w:val="auto"/>
                <w:sz w:val="24"/>
                <w:szCs w:val="24"/>
                <w:highlight w:val="none"/>
                <w:u w:val="none"/>
                <w:lang w:val="en-US" w:eastAsia="zh-CN"/>
              </w:rPr>
              <w:t>/</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区发展和改革局、区住房和城乡建设局、区农业农村局、各街道、社区（村）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（五）形成绿色低碳交通方式</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．加快绿色交通基础设施建设。</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区交通运输局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．构建低碳高效交通运输体系。</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区交通运输局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区发展和改革局、区工业和信息化局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3</w:t>
            </w:r>
            <w:r>
              <w:rPr>
                <w:rStyle w:val="27"/>
                <w:rFonts w:hint="eastAsia" w:ascii="仿宋" w:hAnsi="仿宋" w:eastAsia="仿宋" w:cs="仿宋_GB2312"/>
                <w:color w:val="auto"/>
                <w:sz w:val="24"/>
                <w:szCs w:val="24"/>
                <w:highlight w:val="none"/>
                <w:lang w:val="en-US" w:eastAsia="zh-CN" w:bidi="ar"/>
              </w:rPr>
              <w:t>．推广清洁交通运输工具。</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区交通运输局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区发展和改革局、区科学技术局、区工业和信息化局、区市场监督管理局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4</w:t>
            </w:r>
            <w:r>
              <w:rPr>
                <w:rStyle w:val="27"/>
                <w:rFonts w:hint="eastAsia" w:ascii="仿宋" w:hAnsi="仿宋" w:eastAsia="仿宋" w:cs="仿宋_GB2312"/>
                <w:color w:val="auto"/>
                <w:sz w:val="24"/>
                <w:szCs w:val="24"/>
                <w:highlight w:val="none"/>
                <w:lang w:val="en-US" w:eastAsia="zh-CN" w:bidi="ar"/>
              </w:rPr>
              <w:t>．推动智慧交通全面发展。</w:t>
            </w:r>
          </w:p>
        </w:tc>
        <w:tc>
          <w:tcPr>
            <w:tcW w:w="2444"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区交通运输局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lang w:eastAsia="zh-CN"/>
              </w:rPr>
            </w:pPr>
            <w:r>
              <w:rPr>
                <w:rFonts w:hint="eastAsia" w:ascii="仿宋" w:hAnsi="仿宋" w:eastAsia="仿宋" w:cs="仿宋_GB2312"/>
                <w:i w:val="0"/>
                <w:iCs w:val="0"/>
                <w:color w:val="auto"/>
                <w:sz w:val="24"/>
                <w:szCs w:val="24"/>
                <w:highlight w:val="none"/>
                <w:u w:val="none"/>
                <w:lang w:eastAsia="zh-CN"/>
              </w:rPr>
              <w:t>长沙金霞经济开发区管理委员会、区数据资源中心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（六）提升生态固碳增汇能力</w:t>
            </w:r>
          </w:p>
        </w:tc>
        <w:tc>
          <w:tcPr>
            <w:tcW w:w="3411" w:type="dxa"/>
            <w:vMerge w:val="restar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．巩固提升林业生态系统碳汇。</w:t>
            </w:r>
          </w:p>
        </w:tc>
        <w:tc>
          <w:tcPr>
            <w:tcW w:w="2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区农业农村局</w:t>
            </w:r>
          </w:p>
        </w:tc>
        <w:tc>
          <w:tcPr>
            <w:tcW w:w="470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区发展和改革局、市自然资源和规划局开福区分局、市生态环境局开福分局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vMerge w:val="continue"/>
            <w:tcBorders>
              <w:top w:val="nil"/>
              <w:left w:val="single" w:color="000000" w:sz="8" w:space="0"/>
              <w:bottom w:val="single" w:color="000000" w:sz="8"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2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470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．推动农田湿地碳汇能力提升。</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区农业农村局</w:t>
            </w:r>
          </w:p>
        </w:tc>
        <w:tc>
          <w:tcPr>
            <w:tcW w:w="47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市自然资源和规划局开福区分局、市生态环境局开福分局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3.</w:t>
            </w:r>
            <w:r>
              <w:rPr>
                <w:rStyle w:val="30"/>
                <w:rFonts w:hint="eastAsia" w:ascii="仿宋" w:hAnsi="仿宋" w:eastAsia="仿宋" w:cs="仿宋_GB2312"/>
                <w:color w:val="auto"/>
                <w:sz w:val="24"/>
                <w:szCs w:val="24"/>
                <w:highlight w:val="none"/>
                <w:lang w:val="en-US" w:eastAsia="zh-CN" w:bidi="ar"/>
              </w:rPr>
              <w:t>加强碳汇基础支撑。</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市自然资源和规划局开福区分局</w:t>
            </w:r>
          </w:p>
        </w:tc>
        <w:tc>
          <w:tcPr>
            <w:tcW w:w="47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区发展和改革局、区农业农村局、市生态环境局开福分局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（七）创新科技降碳方式</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．加强绿色低碳人才培养。</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区科学技术局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lang w:eastAsia="zh-CN"/>
              </w:rPr>
            </w:pPr>
            <w:r>
              <w:rPr>
                <w:rFonts w:hint="eastAsia" w:ascii="仿宋" w:hAnsi="仿宋" w:eastAsia="仿宋" w:cs="仿宋_GB2312"/>
                <w:i w:val="0"/>
                <w:iCs w:val="0"/>
                <w:color w:val="auto"/>
                <w:sz w:val="24"/>
                <w:szCs w:val="24"/>
                <w:highlight w:val="none"/>
                <w:u w:val="none"/>
                <w:lang w:eastAsia="zh-CN"/>
              </w:rPr>
              <w:t>马栏山（长沙）视频文创园管理委员会、长沙金霞经济开发区管理委员会、区发展和改革局、区人力资源和社会保障局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．大力推进先进低碳技术研究。</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区科学技术局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区市场监督管理局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3</w:t>
            </w:r>
            <w:r>
              <w:rPr>
                <w:rStyle w:val="27"/>
                <w:rFonts w:hint="eastAsia" w:ascii="仿宋" w:hAnsi="仿宋" w:eastAsia="仿宋" w:cs="仿宋_GB2312"/>
                <w:color w:val="auto"/>
                <w:sz w:val="24"/>
                <w:szCs w:val="24"/>
                <w:highlight w:val="none"/>
                <w:lang w:val="en-US" w:eastAsia="zh-CN" w:bidi="ar"/>
              </w:rPr>
              <w:t>．加快绿色低碳技术的推广应用。</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区科学技术局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区工业和信息化局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4.</w:t>
            </w:r>
            <w:r>
              <w:rPr>
                <w:rStyle w:val="30"/>
                <w:rFonts w:hint="eastAsia" w:ascii="仿宋" w:hAnsi="仿宋" w:eastAsia="仿宋" w:cs="仿宋_GB2312"/>
                <w:color w:val="auto"/>
                <w:sz w:val="24"/>
                <w:szCs w:val="24"/>
                <w:highlight w:val="none"/>
                <w:lang w:val="en-US" w:eastAsia="zh-CN" w:bidi="ar"/>
              </w:rPr>
              <w:t>推进智慧城市管理。</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区数据资源中心</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区发展和改革局、区工业和信息化局、区卫生健康局、市生态环境局开福分局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（八）大力发展循环经济</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．推动产业园区循环发展。</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区发展和改革局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马栏山（</w:t>
            </w:r>
            <w:r>
              <w:rPr>
                <w:rFonts w:hint="eastAsia" w:ascii="仿宋" w:hAnsi="仿宋" w:eastAsia="仿宋" w:cs="仿宋_GB2312"/>
                <w:i w:val="0"/>
                <w:iCs w:val="0"/>
                <w:color w:val="auto"/>
                <w:sz w:val="24"/>
                <w:szCs w:val="24"/>
                <w:highlight w:val="none"/>
                <w:u w:val="none"/>
                <w:lang w:eastAsia="zh-CN"/>
              </w:rPr>
              <w:t>长沙）</w:t>
            </w:r>
            <w:r>
              <w:rPr>
                <w:rFonts w:hint="eastAsia" w:ascii="仿宋" w:hAnsi="仿宋" w:eastAsia="仿宋" w:cs="仿宋_GB2312"/>
                <w:i w:val="0"/>
                <w:iCs w:val="0"/>
                <w:color w:val="auto"/>
                <w:sz w:val="24"/>
                <w:szCs w:val="24"/>
                <w:highlight w:val="none"/>
                <w:u w:val="none"/>
              </w:rPr>
              <w:t>视频文创园管理委员会、长沙金霞经济开发区管理委员会、区工业和信息化局、区城市管理和综合执法局、市生态环境局开福分局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．加快构建资源循环利用体系。</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lang w:val="en-US" w:eastAsia="zh-CN"/>
              </w:rPr>
            </w:pPr>
            <w:r>
              <w:rPr>
                <w:rFonts w:hint="eastAsia" w:ascii="仿宋" w:hAnsi="仿宋" w:eastAsia="仿宋" w:cs="仿宋_GB2312"/>
                <w:i w:val="0"/>
                <w:iCs w:val="0"/>
                <w:color w:val="auto"/>
                <w:sz w:val="24"/>
                <w:szCs w:val="24"/>
                <w:highlight w:val="none"/>
                <w:u w:val="none"/>
                <w:lang w:val="en-US" w:eastAsia="zh-CN"/>
              </w:rPr>
              <w:t>/</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区发展和改革局、区工业和信息化局、区住房和城乡建设局、区商务局、区城市管理和综合执法局、区机关事务中心、市生态环境局开福分局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（九）倡导低碳生活方式</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．打造辐射全国的近零碳文化基地。</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马栏山（长沙）视频文创园管理委员会、区委宣传部、区发展和改革局、区文化旅游体育局、市生态环境局开福分局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．加强全民低碳宣传教育。</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区委组织部、区委宣传部、区发展和改革局、区住房和城乡建设局、区交通运输局、区机关事务中心</w:t>
            </w:r>
            <w:r>
              <w:rPr>
                <w:rFonts w:hint="eastAsia" w:ascii="仿宋" w:hAnsi="仿宋" w:eastAsia="仿宋" w:cs="仿宋_GB2312"/>
                <w:i w:val="0"/>
                <w:iCs w:val="0"/>
                <w:color w:val="auto"/>
                <w:sz w:val="24"/>
                <w:szCs w:val="24"/>
                <w:highlight w:val="none"/>
                <w:u w:val="none"/>
                <w:lang w:eastAsia="zh-CN"/>
              </w:rPr>
              <w:t>、</w:t>
            </w:r>
            <w:r>
              <w:rPr>
                <w:rFonts w:hint="eastAsia" w:ascii="仿宋" w:hAnsi="仿宋" w:eastAsia="仿宋" w:cs="仿宋_GB2312"/>
                <w:i w:val="0"/>
                <w:iCs w:val="0"/>
                <w:color w:val="auto"/>
                <w:sz w:val="24"/>
                <w:szCs w:val="24"/>
                <w:highlight w:val="none"/>
                <w:u w:val="none"/>
              </w:rPr>
              <w:t>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3.</w:t>
            </w:r>
            <w:r>
              <w:rPr>
                <w:rStyle w:val="30"/>
                <w:rFonts w:hint="eastAsia" w:ascii="仿宋" w:hAnsi="仿宋" w:eastAsia="仿宋" w:cs="仿宋_GB2312"/>
                <w:color w:val="auto"/>
                <w:sz w:val="24"/>
                <w:szCs w:val="24"/>
                <w:highlight w:val="none"/>
                <w:lang w:val="en-US" w:eastAsia="zh-CN" w:bidi="ar"/>
              </w:rPr>
              <w:t>普及绿色低碳生活方式。</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区委宣传部、区发展和改革局、区交通运输局、市生态环境局开福分局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（十）深入开展低碳试点示范行动</w:t>
            </w: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1</w:t>
            </w:r>
            <w:r>
              <w:rPr>
                <w:rStyle w:val="27"/>
                <w:rFonts w:hint="eastAsia" w:ascii="仿宋" w:hAnsi="仿宋" w:eastAsia="仿宋" w:cs="仿宋_GB2312"/>
                <w:color w:val="auto"/>
                <w:sz w:val="24"/>
                <w:szCs w:val="24"/>
                <w:highlight w:val="none"/>
                <w:lang w:val="en-US" w:eastAsia="zh-CN" w:bidi="ar"/>
              </w:rPr>
              <w:t>．开展低碳产业试点示范建设。</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7"/>
                <w:rFonts w:hint="eastAsia" w:ascii="仿宋" w:hAnsi="仿宋" w:eastAsia="仿宋" w:cs="仿宋_GB2312"/>
                <w:color w:val="auto"/>
                <w:sz w:val="24"/>
                <w:szCs w:val="24"/>
                <w:highlight w:val="none"/>
                <w:lang w:val="en-US" w:eastAsia="zh-CN" w:bidi="ar"/>
              </w:rPr>
              <w:t>区发展和改革局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马栏山（</w:t>
            </w:r>
            <w:r>
              <w:rPr>
                <w:rFonts w:hint="eastAsia" w:ascii="仿宋" w:hAnsi="仿宋" w:eastAsia="仿宋" w:cs="仿宋_GB2312"/>
                <w:i w:val="0"/>
                <w:iCs w:val="0"/>
                <w:color w:val="auto"/>
                <w:sz w:val="24"/>
                <w:szCs w:val="24"/>
                <w:highlight w:val="none"/>
                <w:u w:val="none"/>
                <w:lang w:eastAsia="zh-CN"/>
              </w:rPr>
              <w:t>长沙）</w:t>
            </w:r>
            <w:r>
              <w:rPr>
                <w:rFonts w:hint="eastAsia" w:ascii="仿宋" w:hAnsi="仿宋" w:eastAsia="仿宋" w:cs="仿宋_GB2312"/>
                <w:i w:val="0"/>
                <w:iCs w:val="0"/>
                <w:color w:val="auto"/>
                <w:sz w:val="24"/>
                <w:szCs w:val="24"/>
                <w:highlight w:val="none"/>
                <w:u w:val="none"/>
              </w:rPr>
              <w:t>视频文创园管理委员会、长沙金霞经济开发区管理委员会、市生态环境局开福分局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369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_GB2312"/>
                <w:i w:val="0"/>
                <w:iCs w:val="0"/>
                <w:color w:val="auto"/>
                <w:sz w:val="24"/>
                <w:szCs w:val="24"/>
                <w:highlight w:val="none"/>
                <w:u w:val="none"/>
              </w:rPr>
            </w:pPr>
          </w:p>
        </w:tc>
        <w:tc>
          <w:tcPr>
            <w:tcW w:w="34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Style w:val="28"/>
                <w:rFonts w:hint="eastAsia" w:ascii="仿宋" w:hAnsi="仿宋" w:eastAsia="仿宋" w:cs="仿宋_GB2312"/>
                <w:color w:val="auto"/>
                <w:sz w:val="24"/>
                <w:szCs w:val="24"/>
                <w:highlight w:val="none"/>
                <w:lang w:val="en-US" w:eastAsia="zh-CN" w:bidi="ar"/>
              </w:rPr>
              <w:t>2</w:t>
            </w:r>
            <w:r>
              <w:rPr>
                <w:rStyle w:val="27"/>
                <w:rFonts w:hint="eastAsia" w:ascii="仿宋" w:hAnsi="仿宋" w:eastAsia="仿宋" w:cs="仿宋_GB2312"/>
                <w:color w:val="auto"/>
                <w:sz w:val="24"/>
                <w:szCs w:val="24"/>
                <w:highlight w:val="none"/>
                <w:lang w:val="en-US" w:eastAsia="zh-CN" w:bidi="ar"/>
              </w:rPr>
              <w:t>．开展绿色公共机构示范建设。</w:t>
            </w:r>
          </w:p>
        </w:tc>
        <w:tc>
          <w:tcPr>
            <w:tcW w:w="2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sz w:val="24"/>
                <w:szCs w:val="24"/>
                <w:highlight w:val="none"/>
                <w:u w:val="none"/>
              </w:rPr>
              <w:t>区发展和改革局</w:t>
            </w:r>
          </w:p>
        </w:tc>
        <w:tc>
          <w:tcPr>
            <w:tcW w:w="4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_GB2312"/>
                <w:i w:val="0"/>
                <w:iCs w:val="0"/>
                <w:color w:val="auto"/>
                <w:sz w:val="24"/>
                <w:szCs w:val="24"/>
                <w:highlight w:val="none"/>
                <w:u w:val="none"/>
              </w:rPr>
            </w:pPr>
            <w:r>
              <w:rPr>
                <w:rFonts w:hint="eastAsia" w:ascii="仿宋" w:hAnsi="仿宋" w:eastAsia="仿宋" w:cs="仿宋_GB2312"/>
                <w:i w:val="0"/>
                <w:iCs w:val="0"/>
                <w:color w:val="auto"/>
                <w:kern w:val="0"/>
                <w:sz w:val="24"/>
                <w:szCs w:val="24"/>
                <w:highlight w:val="none"/>
                <w:u w:val="none"/>
                <w:lang w:val="en-US" w:eastAsia="zh-CN" w:bidi="ar"/>
              </w:rPr>
              <w:t>区机关事务中心</w:t>
            </w:r>
          </w:p>
        </w:tc>
      </w:tr>
    </w:tbl>
    <w:p>
      <w:pPr>
        <w:pStyle w:val="17"/>
        <w:spacing w:after="0" w:line="360" w:lineRule="auto"/>
        <w:ind w:left="0" w:leftChars="0" w:firstLine="480"/>
        <w:rPr>
          <w:rStyle w:val="27"/>
          <w:rFonts w:hint="default" w:ascii="仿宋" w:hAnsi="仿宋" w:eastAsia="仿宋"/>
          <w:color w:val="auto"/>
          <w:kern w:val="2"/>
          <w:highlight w:val="none"/>
          <w:lang w:val="en-US" w:eastAsia="zh-CN" w:bidi="ar"/>
        </w:rPr>
        <w:sectPr>
          <w:pgSz w:w="16838" w:h="11906" w:orient="landscape"/>
          <w:pgMar w:top="1800" w:right="1440" w:bottom="1800" w:left="1440" w:header="851" w:footer="992" w:gutter="0"/>
          <w:pgNumType w:fmt="decimal"/>
          <w:cols w:space="425" w:num="1"/>
          <w:docGrid w:type="lines" w:linePitch="312" w:charSpace="0"/>
        </w:sectPr>
      </w:pPr>
      <w:r>
        <w:rPr>
          <w:rStyle w:val="27"/>
          <w:rFonts w:hint="eastAsia" w:ascii="仿宋" w:hAnsi="仿宋" w:eastAsia="仿宋"/>
          <w:color w:val="auto"/>
          <w:kern w:val="2"/>
          <w:highlight w:val="none"/>
          <w:lang w:val="en-US" w:eastAsia="zh-CN" w:bidi="ar"/>
        </w:rPr>
        <w:t>注：1、森林覆盖率指标，是指森林面积占土地总面积的比率。为确保该指标的科学性，将会根据省局公布的最新林草湿数据与国土三调数据的年度融合成果科学规划确定该指标目标值。</w:t>
      </w:r>
    </w:p>
    <w:p>
      <w:pPr>
        <w:spacing w:line="360" w:lineRule="auto"/>
        <w:ind w:left="0" w:leftChars="0" w:firstLine="0" w:firstLineChars="0"/>
        <w:jc w:val="both"/>
        <w:outlineLvl w:val="0"/>
        <w:rPr>
          <w:rFonts w:hint="eastAsia" w:ascii="宋体" w:hAnsi="宋体" w:eastAsia="宋体" w:cs="宋体"/>
          <w:b w:val="0"/>
          <w:bCs w:val="0"/>
          <w:color w:val="auto"/>
          <w:sz w:val="32"/>
          <w:szCs w:val="32"/>
          <w:highlight w:val="none"/>
          <w:lang w:val="en-US" w:eastAsia="zh-CN"/>
        </w:rPr>
      </w:pPr>
      <w:bookmarkStart w:id="34" w:name="_Toc21276"/>
      <w:r>
        <w:rPr>
          <w:rFonts w:hint="eastAsia" w:ascii="宋体" w:hAnsi="宋体" w:eastAsia="宋体" w:cs="宋体"/>
          <w:b w:val="0"/>
          <w:bCs w:val="0"/>
          <w:color w:val="auto"/>
          <w:sz w:val="32"/>
          <w:szCs w:val="32"/>
          <w:highlight w:val="none"/>
          <w:lang w:val="en-US" w:eastAsia="zh-CN"/>
        </w:rPr>
        <w:t>附件2</w:t>
      </w:r>
      <w:bookmarkEnd w:id="34"/>
      <w:bookmarkStart w:id="35" w:name="_Toc30739"/>
      <w:r>
        <w:rPr>
          <w:rFonts w:hint="eastAsia" w:ascii="宋体" w:hAnsi="宋体" w:eastAsia="宋体" w:cs="宋体"/>
          <w:b w:val="0"/>
          <w:bCs w:val="0"/>
          <w:color w:val="auto"/>
          <w:sz w:val="32"/>
          <w:szCs w:val="32"/>
          <w:highlight w:val="none"/>
          <w:lang w:val="en-US" w:eastAsia="zh-CN"/>
        </w:rPr>
        <w:t xml:space="preserve"> 长沙市开福区碳达峰重点项目清单</w:t>
      </w:r>
      <w:bookmarkEnd w:id="35"/>
    </w:p>
    <w:tbl>
      <w:tblPr>
        <w:tblStyle w:val="18"/>
        <w:tblW w:w="4998"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897"/>
        <w:gridCol w:w="897"/>
        <w:gridCol w:w="1745"/>
        <w:gridCol w:w="1555"/>
        <w:gridCol w:w="6720"/>
        <w:gridCol w:w="1417"/>
        <w:gridCol w:w="9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8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类别</w:t>
            </w: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项目单位</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建设内容</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起止年限</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项目总投资（万元）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环境保护工程</w:t>
            </w: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捞刀河流域开福区段生态环境修复工程</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对楚家湖进行清淤，开展楚家湖、金竹河人工湿地建设以及生态缓冲带修复等</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2023-2024</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资源循环利用工程</w:t>
            </w: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湖南壹城环保科技有限公司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建筑垃圾资源化利用项目</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占地约150亩，主要建设沥青垃圾、建设拆除垃圾、工程垃圾、装修垃圾四类垃圾处理生产线。</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2023-2024</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5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28"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重点行业绿色提升工程</w:t>
            </w: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湖南华建新材料科技有限公司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ALC装配式建筑型材智能工厂</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项目用地面积84亩，主要建设蒸压加气混凝土板材、砌块和商品混凝土三条生产线，建设内容为厂房、综合楼、仓库、搅拌楼、计量楼、物料仓库、倒班楼及配套设施。</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2021-2023</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湖南中巨科技有限公司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中巨机械智能制造生产基地</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项目用地面积45亩，主要建设厂房和综合楼，将打造全国重要的智能终端产业基地。主要从事玻璃纤维生产研发、生产和销售。</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2022-2024</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湖南飞速轨道科技有限公司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飞速轨道交通智能装备研发及生产基地</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项目用地面积25亩，主要建设标准厂房、倒班楼以及门卫室和地下室。主要从事铁路、船舶、航空航天和其他运输设备制造业。</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2021-2023</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5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湖南德荣医疗健康产业有限公司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德荣医疗智慧物流产业基地</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项目用地面积63亩，主要建设总部基地，专家研发楼，配套用房、高架立体库、多层立体库，产业孵化基地及地下室，打造成为数字化、智能化的医疗器械专业物流产业园</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2020-2023</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湖南湘之杰物流有限公司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湘之杰绿色环保建材产业园及配套码头</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项目用地面积156亩，主要建设单层仓库和办公楼，配套码头主要建设2000T级通用泊位2个。整体项目以砂石仓储物流为主，砂石破碎初加工生产线为辅。</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2022-2023</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长沙为明节能科技有限公司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为明节能节水装备创新智造产业园</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项目用地面积51亩，主要建设办公楼、生产厂房、实验室、风洞测试平台、员工宿舍及相关配套设施。主要从事节能节水装备的研发、生产和销售。</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2023-2024</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5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湖南迪佩斯智能科技有限公司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5G通信及PCB/FCCL科技产业园与MEMS传感器研发制造项目</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项目用地面积186亩，主要建设生产厂房、研发办公大楼、员工食堂、配套住宿、仓库等，进行5G通信及PCB/FCCL研究制造与MEMS传感器研发。</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2023-2024</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5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28"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新能源建设工程</w:t>
            </w: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长沙开福城投控股有限责任公司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加油气站（特许经营权项目）</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对接中石化湖南公司，发挥各自优势开展合作，对加油加气站进行选址建设</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2021—2023</w:t>
            </w:r>
          </w:p>
        </w:tc>
        <w:tc>
          <w:tcPr>
            <w:tcW w:w="3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5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长沙北城发展有限公司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集聚区110KV专用变电站工程</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采购安装4台63MKVA变压器</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2023-2024</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44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328"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城市居民生活降碳工程</w:t>
            </w: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长沙市恒晟城市更新投资有限责任公司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丽臣老旧小区改造项目</w:t>
            </w:r>
          </w:p>
        </w:tc>
        <w:tc>
          <w:tcPr>
            <w:tcW w:w="238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推进既有建筑节能改造、建筑光伏一体化建设，推动太阳能光热利用系统、太阳能光电利用系统规模化应用。对老旧小区开展城市更新，增强建筑保温，持续降低建筑能耗。</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2023-2025</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45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区人居环境局</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建湘新村城市更新单元（旧城改建）项目</w:t>
            </w:r>
          </w:p>
        </w:tc>
        <w:tc>
          <w:tcPr>
            <w:tcW w:w="238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2023-2025</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区人居环境局</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2023年城镇老旧小区改造</w:t>
            </w:r>
          </w:p>
        </w:tc>
        <w:tc>
          <w:tcPr>
            <w:tcW w:w="238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43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2023-2024</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区人居环境局、各相关部门、各相关街道</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2023年绿色完整居住社区创建</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根据《长沙市“绿色完整”居住社区创建实施方案》（送审稿），2026年之前50%以上社区成功创建绿色完整社区</w:t>
            </w:r>
          </w:p>
        </w:tc>
        <w:tc>
          <w:tcPr>
            <w:tcW w:w="43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2023-2026</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328"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基础设施提质工程</w:t>
            </w: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市水业集团（长沙供水有限公司）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新河水厂提标改造工程</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深度处理工艺改造（30万吨/天），排泥水处理，次氯酸钠消毒系统改造</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2023-2024</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32698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29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市公建中心</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湘江大道沿线排水等管线改造工程一期（凤嘴泵站改造及配套压力管道建设工程、桂花祠泵站改造及调蓄设施建设工程）</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凤嘴泵站污水提升规模旱季扩建至25万吨/天，雨季提升规模达到39万吨/天，新建出水压力管；桂花柯泵站及调蓄设施排渍规模扩建至7.5立方米/秒，同步改造配电、格栅等。</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2022-2023</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长沙北城发展有限公司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长沙（金霞）消费电子产业集聚区纳污干管工程</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新建重力、压力管道合计约8公里，改造污水处理厂为提升泵站</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2023-2025</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328"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长沙金霞经济开发区</w:t>
            </w:r>
          </w:p>
        </w:tc>
        <w:tc>
          <w:tcPr>
            <w:tcW w:w="56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沙坪大明片区排污工程</w:t>
            </w:r>
          </w:p>
        </w:tc>
        <w:tc>
          <w:tcPr>
            <w:tcW w:w="238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汤冲路（湘通路-自安路）D400污水管道、自安路（大明路-汤冲路）D400污水管道、大明路（自安路-湘通路）D150污水压力管道，新建污水泵站200吨/天</w:t>
            </w:r>
          </w:p>
        </w:tc>
        <w:tc>
          <w:tcPr>
            <w:tcW w:w="43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2023-2024</w:t>
            </w:r>
          </w:p>
        </w:tc>
        <w:tc>
          <w:tcPr>
            <w:tcW w:w="333"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560"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238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43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333"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55" w:hRule="atLeast"/>
        </w:trPr>
        <w:tc>
          <w:tcPr>
            <w:tcW w:w="32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32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4"/>
                <w:szCs w:val="24"/>
                <w:u w:val="none"/>
              </w:rPr>
            </w:pPr>
          </w:p>
        </w:tc>
        <w:tc>
          <w:tcPr>
            <w:tcW w:w="6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长沙中科成污水净化有限公司</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金霞污水处理厂提标扩容工程</w:t>
            </w:r>
          </w:p>
        </w:tc>
        <w:tc>
          <w:tcPr>
            <w:tcW w:w="23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改造规模为30*104m</w:t>
            </w:r>
            <w:r>
              <w:rPr>
                <w:rFonts w:hint="eastAsia" w:ascii="仿宋" w:hAnsi="仿宋" w:eastAsia="仿宋" w:cs="仿宋"/>
                <w:i w:val="0"/>
                <w:iCs w:val="0"/>
                <w:color w:val="000000"/>
                <w:kern w:val="0"/>
                <w:sz w:val="24"/>
                <w:szCs w:val="24"/>
                <w:u w:val="none"/>
                <w:vertAlign w:val="superscript"/>
                <w:lang w:val="en-US" w:eastAsia="zh-CN" w:bidi="ar"/>
              </w:rPr>
              <w:t>3</w:t>
            </w:r>
            <w:r>
              <w:rPr>
                <w:rFonts w:hint="eastAsia" w:ascii="仿宋" w:hAnsi="仿宋" w:eastAsia="仿宋" w:cs="仿宋"/>
                <w:i w:val="0"/>
                <w:iCs w:val="0"/>
                <w:color w:val="000000"/>
                <w:kern w:val="0"/>
                <w:sz w:val="24"/>
                <w:szCs w:val="24"/>
                <w:u w:val="none"/>
                <w:lang w:val="en-US" w:eastAsia="zh-CN" w:bidi="ar"/>
              </w:rPr>
              <w:t>/d。建设内容包括提标改造工程、厂区基坑支护工程、总图工程、尾水工程及智慧水务工程等</w:t>
            </w:r>
          </w:p>
        </w:tc>
        <w:tc>
          <w:tcPr>
            <w:tcW w:w="43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2021-2024</w:t>
            </w:r>
          </w:p>
        </w:tc>
        <w:tc>
          <w:tcPr>
            <w:tcW w:w="33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91209</w:t>
            </w:r>
          </w:p>
        </w:tc>
      </w:tr>
    </w:tbl>
    <w:p>
      <w:pPr>
        <w:spacing w:line="360" w:lineRule="auto"/>
        <w:jc w:val="both"/>
        <w:outlineLvl w:val="9"/>
        <w:rPr>
          <w:rFonts w:hint="eastAsia" w:ascii="仿宋_GB2312" w:hAnsi="仿宋_GB2312" w:eastAsia="仿宋_GB2312" w:cs="仿宋_GB2312"/>
          <w:b/>
          <w:bCs/>
          <w:color w:val="auto"/>
          <w:sz w:val="28"/>
          <w:highlight w:val="none"/>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F4FCB99E-844F-4F03-B34C-8BFBCF35EEB6}"/>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embedRegular r:id="rId2" w:fontKey="{CC0AED12-CB9D-4A2C-BD83-52345CFEE983}"/>
  </w:font>
  <w:font w:name="方正小标宋简体">
    <w:panose1 w:val="03000509000000000000"/>
    <w:charset w:val="86"/>
    <w:family w:val="auto"/>
    <w:pitch w:val="default"/>
    <w:sig w:usb0="00000001" w:usb1="080E0000" w:usb2="00000000" w:usb3="00000000" w:csb0="00040000" w:csb1="00000000"/>
    <w:embedRegular r:id="rId3" w:fontKey="{9FB63BE7-BEE5-4106-87BC-98E68BAA1B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wMGI1NTMyYmYyMzgxODc1MThhMDY1NWJkYTMxZjcifQ=="/>
  </w:docVars>
  <w:rsids>
    <w:rsidRoot w:val="2FFA2DEF"/>
    <w:rsid w:val="00324167"/>
    <w:rsid w:val="0060284C"/>
    <w:rsid w:val="00690E99"/>
    <w:rsid w:val="007F372E"/>
    <w:rsid w:val="007F795B"/>
    <w:rsid w:val="008617DB"/>
    <w:rsid w:val="00984A93"/>
    <w:rsid w:val="00AB2FC9"/>
    <w:rsid w:val="00AD6FA0"/>
    <w:rsid w:val="00EB217B"/>
    <w:rsid w:val="00F32161"/>
    <w:rsid w:val="00F87A1B"/>
    <w:rsid w:val="014A102B"/>
    <w:rsid w:val="01BD420B"/>
    <w:rsid w:val="02800E3E"/>
    <w:rsid w:val="032D29B2"/>
    <w:rsid w:val="03661A20"/>
    <w:rsid w:val="03F92894"/>
    <w:rsid w:val="04093CB6"/>
    <w:rsid w:val="049F40FE"/>
    <w:rsid w:val="0582484A"/>
    <w:rsid w:val="059B7A7E"/>
    <w:rsid w:val="06A967F3"/>
    <w:rsid w:val="06AE3345"/>
    <w:rsid w:val="06CD509A"/>
    <w:rsid w:val="080A32C2"/>
    <w:rsid w:val="0A6D5DC2"/>
    <w:rsid w:val="0B9B59A1"/>
    <w:rsid w:val="0C254802"/>
    <w:rsid w:val="0C7C3ABE"/>
    <w:rsid w:val="0CC01DA0"/>
    <w:rsid w:val="0E48627D"/>
    <w:rsid w:val="0EB327D4"/>
    <w:rsid w:val="0EDD4F42"/>
    <w:rsid w:val="0F500202"/>
    <w:rsid w:val="10442450"/>
    <w:rsid w:val="11D0610A"/>
    <w:rsid w:val="123218A4"/>
    <w:rsid w:val="134E658C"/>
    <w:rsid w:val="14897B0A"/>
    <w:rsid w:val="151A35D9"/>
    <w:rsid w:val="151D7F05"/>
    <w:rsid w:val="171B7A22"/>
    <w:rsid w:val="18150E32"/>
    <w:rsid w:val="181F6CC2"/>
    <w:rsid w:val="182F6E90"/>
    <w:rsid w:val="188B35C7"/>
    <w:rsid w:val="18F520CE"/>
    <w:rsid w:val="194340A3"/>
    <w:rsid w:val="197426D9"/>
    <w:rsid w:val="1B0C5135"/>
    <w:rsid w:val="1B340127"/>
    <w:rsid w:val="1CF843BB"/>
    <w:rsid w:val="1E195BB5"/>
    <w:rsid w:val="1F25485C"/>
    <w:rsid w:val="1FB03F7D"/>
    <w:rsid w:val="21595597"/>
    <w:rsid w:val="21C245F0"/>
    <w:rsid w:val="21FC5139"/>
    <w:rsid w:val="2252305A"/>
    <w:rsid w:val="2307535A"/>
    <w:rsid w:val="23737E9F"/>
    <w:rsid w:val="23A245C8"/>
    <w:rsid w:val="24276380"/>
    <w:rsid w:val="24797B53"/>
    <w:rsid w:val="2546691D"/>
    <w:rsid w:val="261460CA"/>
    <w:rsid w:val="26A12BEB"/>
    <w:rsid w:val="26FB2E83"/>
    <w:rsid w:val="284B4F20"/>
    <w:rsid w:val="287814B5"/>
    <w:rsid w:val="29243C4A"/>
    <w:rsid w:val="29977D32"/>
    <w:rsid w:val="29DA1B99"/>
    <w:rsid w:val="2A5F6386"/>
    <w:rsid w:val="2B4E551D"/>
    <w:rsid w:val="2BC03B14"/>
    <w:rsid w:val="2C9C1E8B"/>
    <w:rsid w:val="2DE83813"/>
    <w:rsid w:val="2FFA2DEF"/>
    <w:rsid w:val="30793281"/>
    <w:rsid w:val="307F4318"/>
    <w:rsid w:val="30E32DDF"/>
    <w:rsid w:val="31811F16"/>
    <w:rsid w:val="322162CA"/>
    <w:rsid w:val="3232593A"/>
    <w:rsid w:val="32DA038C"/>
    <w:rsid w:val="33502BB0"/>
    <w:rsid w:val="34BD7BFC"/>
    <w:rsid w:val="36B81A57"/>
    <w:rsid w:val="372B2789"/>
    <w:rsid w:val="389369EC"/>
    <w:rsid w:val="39CE14EA"/>
    <w:rsid w:val="3A425C4D"/>
    <w:rsid w:val="3C201F32"/>
    <w:rsid w:val="3D056B6D"/>
    <w:rsid w:val="3E2912A2"/>
    <w:rsid w:val="3E324412"/>
    <w:rsid w:val="3F101758"/>
    <w:rsid w:val="3FEE1843"/>
    <w:rsid w:val="40B80716"/>
    <w:rsid w:val="40F07416"/>
    <w:rsid w:val="415E1D34"/>
    <w:rsid w:val="46410DBF"/>
    <w:rsid w:val="46FB1ED1"/>
    <w:rsid w:val="47346453"/>
    <w:rsid w:val="47B0720F"/>
    <w:rsid w:val="48DE5768"/>
    <w:rsid w:val="48FD1539"/>
    <w:rsid w:val="49865A31"/>
    <w:rsid w:val="49BE532B"/>
    <w:rsid w:val="4B196996"/>
    <w:rsid w:val="4BE40354"/>
    <w:rsid w:val="4DED36E9"/>
    <w:rsid w:val="4E363C24"/>
    <w:rsid w:val="4F7C1E08"/>
    <w:rsid w:val="543D3394"/>
    <w:rsid w:val="54DE40A2"/>
    <w:rsid w:val="55760920"/>
    <w:rsid w:val="56D83D2F"/>
    <w:rsid w:val="585443AE"/>
    <w:rsid w:val="58DE258A"/>
    <w:rsid w:val="58F55C6B"/>
    <w:rsid w:val="5941242E"/>
    <w:rsid w:val="5B4D0671"/>
    <w:rsid w:val="5D295176"/>
    <w:rsid w:val="5D6377AA"/>
    <w:rsid w:val="5EC24ED2"/>
    <w:rsid w:val="5ECE2E49"/>
    <w:rsid w:val="5ED01ED7"/>
    <w:rsid w:val="5EF808F3"/>
    <w:rsid w:val="5F4031A3"/>
    <w:rsid w:val="5F722450"/>
    <w:rsid w:val="5FDD7B11"/>
    <w:rsid w:val="602B56BF"/>
    <w:rsid w:val="60707D95"/>
    <w:rsid w:val="61207A7B"/>
    <w:rsid w:val="618047EF"/>
    <w:rsid w:val="62CB0A4E"/>
    <w:rsid w:val="636203B7"/>
    <w:rsid w:val="63AE29CA"/>
    <w:rsid w:val="63B51B7C"/>
    <w:rsid w:val="652C7ABA"/>
    <w:rsid w:val="65C126CF"/>
    <w:rsid w:val="65E07695"/>
    <w:rsid w:val="66406546"/>
    <w:rsid w:val="66CE2B1B"/>
    <w:rsid w:val="67872C87"/>
    <w:rsid w:val="686663F6"/>
    <w:rsid w:val="69252C2D"/>
    <w:rsid w:val="6980631E"/>
    <w:rsid w:val="69D87020"/>
    <w:rsid w:val="6A1F4986"/>
    <w:rsid w:val="6C3667C5"/>
    <w:rsid w:val="6C402332"/>
    <w:rsid w:val="6D1574AE"/>
    <w:rsid w:val="6D1C6726"/>
    <w:rsid w:val="6DF036A0"/>
    <w:rsid w:val="6E18686B"/>
    <w:rsid w:val="6EAA5A95"/>
    <w:rsid w:val="6FB67AB5"/>
    <w:rsid w:val="6FF94CA3"/>
    <w:rsid w:val="706263E3"/>
    <w:rsid w:val="707B1A9D"/>
    <w:rsid w:val="71EB2A4E"/>
    <w:rsid w:val="727D0A0C"/>
    <w:rsid w:val="72A41092"/>
    <w:rsid w:val="7456694C"/>
    <w:rsid w:val="74DC108D"/>
    <w:rsid w:val="76A862F8"/>
    <w:rsid w:val="777C538B"/>
    <w:rsid w:val="778F4041"/>
    <w:rsid w:val="783C6557"/>
    <w:rsid w:val="793B3143"/>
    <w:rsid w:val="793D73DB"/>
    <w:rsid w:val="794E40B5"/>
    <w:rsid w:val="7AA70820"/>
    <w:rsid w:val="7B413F78"/>
    <w:rsid w:val="7BB06386"/>
    <w:rsid w:val="7C4D04A2"/>
    <w:rsid w:val="7E6954F6"/>
    <w:rsid w:val="7EF26DF5"/>
    <w:rsid w:val="7FCE5E9F"/>
    <w:rsid w:val="7FDF36DE"/>
    <w:rsid w:val="7FE94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仿宋_GB2312" w:hAnsi="仿宋_GB2312" w:eastAsia="仿宋_GB2312" w:cstheme="minorBidi"/>
      <w:kern w:val="2"/>
      <w:sz w:val="32"/>
      <w:szCs w:val="32"/>
      <w:lang w:val="en-US" w:eastAsia="zh-CN" w:bidi="ar-SA"/>
    </w:rPr>
  </w:style>
  <w:style w:type="paragraph" w:styleId="4">
    <w:name w:val="heading 1"/>
    <w:basedOn w:val="1"/>
    <w:next w:val="1"/>
    <w:qFormat/>
    <w:uiPriority w:val="0"/>
    <w:pPr>
      <w:keepNext/>
      <w:keepLines/>
      <w:ind w:firstLine="880" w:firstLineChars="200"/>
      <w:outlineLvl w:val="0"/>
    </w:pPr>
    <w:rPr>
      <w:rFonts w:eastAsia="黑体"/>
      <w:kern w:val="44"/>
    </w:rPr>
  </w:style>
  <w:style w:type="paragraph" w:styleId="5">
    <w:name w:val="heading 2"/>
    <w:basedOn w:val="1"/>
    <w:next w:val="1"/>
    <w:unhideWhenUsed/>
    <w:qFormat/>
    <w:uiPriority w:val="0"/>
    <w:pPr>
      <w:keepNext/>
      <w:keepLines/>
      <w:spacing w:beforeLines="0" w:beforeAutospacing="0" w:afterLines="0" w:afterAutospacing="0" w:line="600" w:lineRule="exact"/>
      <w:outlineLvl w:val="1"/>
    </w:pPr>
    <w:rPr>
      <w:rFonts w:ascii="Arial" w:hAnsi="Arial" w:eastAsia="楷体"/>
      <w:b/>
    </w:rPr>
  </w:style>
  <w:style w:type="paragraph" w:styleId="6">
    <w:name w:val="heading 3"/>
    <w:basedOn w:val="1"/>
    <w:next w:val="1"/>
    <w:unhideWhenUsed/>
    <w:qFormat/>
    <w:uiPriority w:val="0"/>
    <w:pPr>
      <w:keepNext/>
      <w:keepLines/>
      <w:spacing w:beforeLines="0" w:beforeAutospacing="0" w:afterLines="0" w:afterAutospacing="0" w:line="600" w:lineRule="exact"/>
      <w:outlineLvl w:val="2"/>
    </w:pPr>
    <w:rPr>
      <w:b/>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eastAsia="Cambria"/>
      <w:b/>
    </w:rPr>
  </w:style>
  <w:style w:type="paragraph" w:styleId="7">
    <w:name w:val="Normal Indent"/>
    <w:basedOn w:val="1"/>
    <w:unhideWhenUsed/>
    <w:qFormat/>
    <w:uiPriority w:val="99"/>
    <w:pPr>
      <w:ind w:firstLine="420"/>
    </w:pPr>
    <w:rPr>
      <w:rFonts w:eastAsia="宋体" w:cs="Times New Roman"/>
      <w:sz w:val="21"/>
    </w:rPr>
  </w:style>
  <w:style w:type="paragraph" w:styleId="8">
    <w:name w:val="annotation text"/>
    <w:basedOn w:val="1"/>
    <w:link w:val="25"/>
    <w:qFormat/>
    <w:uiPriority w:val="0"/>
    <w:pPr>
      <w:jc w:val="left"/>
    </w:pPr>
  </w:style>
  <w:style w:type="paragraph" w:styleId="9">
    <w:name w:val="Body Text Indent"/>
    <w:basedOn w:val="1"/>
    <w:next w:val="10"/>
    <w:qFormat/>
    <w:uiPriority w:val="0"/>
    <w:pPr>
      <w:ind w:firstLine="200"/>
    </w:pPr>
  </w:style>
  <w:style w:type="paragraph" w:styleId="10">
    <w:name w:val="Body Text Indent 2"/>
    <w:basedOn w:val="1"/>
    <w:qFormat/>
    <w:uiPriority w:val="0"/>
    <w:pPr>
      <w:spacing w:line="360" w:lineRule="auto"/>
      <w:ind w:firstLine="420"/>
    </w:p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next w:val="1"/>
    <w:link w:val="23"/>
    <w:qFormat/>
    <w:uiPriority w:val="0"/>
    <w:pPr>
      <w:tabs>
        <w:tab w:val="center" w:pos="4153"/>
        <w:tab w:val="right" w:pos="8306"/>
      </w:tabs>
      <w:snapToGrid w:val="0"/>
      <w:jc w:val="center"/>
    </w:pPr>
    <w:rPr>
      <w:sz w:val="18"/>
      <w:szCs w:val="18"/>
    </w:rPr>
  </w:style>
  <w:style w:type="paragraph" w:styleId="13">
    <w:name w:val="Body Text Indent 3"/>
    <w:basedOn w:val="1"/>
    <w:qFormat/>
    <w:uiPriority w:val="99"/>
    <w:pPr>
      <w:spacing w:after="120"/>
      <w:ind w:left="420"/>
    </w:pPr>
  </w:style>
  <w:style w:type="paragraph" w:styleId="14">
    <w:name w:val="Normal (Web)"/>
    <w:basedOn w:val="1"/>
    <w:next w:val="1"/>
    <w:qFormat/>
    <w:uiPriority w:val="0"/>
    <w:pPr>
      <w:spacing w:beforeAutospacing="1" w:afterAutospacing="1"/>
      <w:jc w:val="left"/>
    </w:pPr>
    <w:rPr>
      <w:rFonts w:cs="Times New Roman"/>
      <w:kern w:val="0"/>
      <w:sz w:val="32"/>
    </w:rPr>
  </w:style>
  <w:style w:type="paragraph" w:styleId="15">
    <w:name w:val="annotation subject"/>
    <w:basedOn w:val="8"/>
    <w:next w:val="8"/>
    <w:link w:val="26"/>
    <w:qFormat/>
    <w:uiPriority w:val="0"/>
    <w:rPr>
      <w:b/>
      <w:bCs/>
    </w:rPr>
  </w:style>
  <w:style w:type="paragraph" w:styleId="16">
    <w:name w:val="Body Text First Indent"/>
    <w:basedOn w:val="2"/>
    <w:next w:val="13"/>
    <w:qFormat/>
    <w:uiPriority w:val="0"/>
    <w:pPr>
      <w:ind w:firstLine="420" w:firstLineChars="100"/>
    </w:pPr>
  </w:style>
  <w:style w:type="paragraph" w:styleId="17">
    <w:name w:val="Body Text First Indent 2"/>
    <w:basedOn w:val="9"/>
    <w:next w:val="7"/>
    <w:qFormat/>
    <w:uiPriority w:val="99"/>
    <w:pPr>
      <w:spacing w:after="120"/>
      <w:ind w:left="420" w:leftChars="200" w:firstLine="420"/>
    </w:pPr>
    <w:rPr>
      <w:rFonts w:eastAsia="宋体" w:cs="Times New Roman"/>
    </w:rPr>
  </w:style>
  <w:style w:type="character" w:styleId="20">
    <w:name w:val="Emphasis"/>
    <w:basedOn w:val="19"/>
    <w:qFormat/>
    <w:uiPriority w:val="0"/>
    <w:rPr>
      <w:i/>
    </w:rPr>
  </w:style>
  <w:style w:type="character" w:styleId="21">
    <w:name w:val="annotation reference"/>
    <w:basedOn w:val="19"/>
    <w:qFormat/>
    <w:uiPriority w:val="0"/>
    <w:rPr>
      <w:sz w:val="21"/>
      <w:szCs w:val="21"/>
    </w:rPr>
  </w:style>
  <w:style w:type="paragraph" w:customStyle="1" w:styleId="22">
    <w:name w:val="BodyText"/>
    <w:basedOn w:val="1"/>
    <w:qFormat/>
    <w:uiPriority w:val="0"/>
    <w:pPr>
      <w:spacing w:after="120"/>
    </w:pPr>
    <w:rPr>
      <w:rFonts w:eastAsia="华文仿宋"/>
      <w:sz w:val="30"/>
    </w:rPr>
  </w:style>
  <w:style w:type="character" w:customStyle="1" w:styleId="23">
    <w:name w:val="页眉 字符"/>
    <w:basedOn w:val="19"/>
    <w:link w:val="12"/>
    <w:qFormat/>
    <w:uiPriority w:val="0"/>
    <w:rPr>
      <w:rFonts w:asciiTheme="minorHAnsi" w:hAnsiTheme="minorHAnsi" w:eastAsiaTheme="minorEastAsia" w:cstheme="minorBidi"/>
      <w:kern w:val="2"/>
      <w:sz w:val="18"/>
      <w:szCs w:val="18"/>
    </w:rPr>
  </w:style>
  <w:style w:type="character" w:customStyle="1" w:styleId="24">
    <w:name w:val="页脚 字符"/>
    <w:basedOn w:val="19"/>
    <w:link w:val="11"/>
    <w:qFormat/>
    <w:uiPriority w:val="0"/>
    <w:rPr>
      <w:rFonts w:asciiTheme="minorHAnsi" w:hAnsiTheme="minorHAnsi" w:eastAsiaTheme="minorEastAsia" w:cstheme="minorBidi"/>
      <w:kern w:val="2"/>
      <w:sz w:val="18"/>
      <w:szCs w:val="18"/>
    </w:rPr>
  </w:style>
  <w:style w:type="character" w:customStyle="1" w:styleId="25">
    <w:name w:val="批注文字 字符"/>
    <w:basedOn w:val="19"/>
    <w:link w:val="8"/>
    <w:qFormat/>
    <w:uiPriority w:val="0"/>
    <w:rPr>
      <w:rFonts w:asciiTheme="minorHAnsi" w:hAnsiTheme="minorHAnsi" w:eastAsiaTheme="minorEastAsia" w:cstheme="minorBidi"/>
      <w:kern w:val="2"/>
      <w:sz w:val="21"/>
      <w:szCs w:val="24"/>
    </w:rPr>
  </w:style>
  <w:style w:type="character" w:customStyle="1" w:styleId="26">
    <w:name w:val="批注主题 字符"/>
    <w:basedOn w:val="25"/>
    <w:link w:val="15"/>
    <w:qFormat/>
    <w:uiPriority w:val="0"/>
    <w:rPr>
      <w:rFonts w:asciiTheme="minorHAnsi" w:hAnsiTheme="minorHAnsi" w:eastAsiaTheme="minorEastAsia" w:cstheme="minorBidi"/>
      <w:b/>
      <w:bCs/>
      <w:kern w:val="2"/>
      <w:sz w:val="21"/>
      <w:szCs w:val="24"/>
    </w:rPr>
  </w:style>
  <w:style w:type="character" w:customStyle="1" w:styleId="27">
    <w:name w:val="font11"/>
    <w:basedOn w:val="19"/>
    <w:qFormat/>
    <w:uiPriority w:val="0"/>
    <w:rPr>
      <w:rFonts w:hint="eastAsia" w:ascii="仿宋_GB2312" w:eastAsia="仿宋_GB2312" w:cs="仿宋_GB2312"/>
      <w:color w:val="000000"/>
      <w:sz w:val="24"/>
      <w:szCs w:val="24"/>
      <w:u w:val="none"/>
    </w:rPr>
  </w:style>
  <w:style w:type="character" w:customStyle="1" w:styleId="28">
    <w:name w:val="font21"/>
    <w:basedOn w:val="19"/>
    <w:qFormat/>
    <w:uiPriority w:val="0"/>
    <w:rPr>
      <w:rFonts w:hint="default" w:ascii="Times New Roman" w:hAnsi="Times New Roman" w:cs="Times New Roman"/>
      <w:color w:val="000000"/>
      <w:sz w:val="24"/>
      <w:szCs w:val="24"/>
      <w:u w:val="none"/>
    </w:rPr>
  </w:style>
  <w:style w:type="character" w:customStyle="1" w:styleId="29">
    <w:name w:val="font31"/>
    <w:basedOn w:val="19"/>
    <w:qFormat/>
    <w:uiPriority w:val="0"/>
    <w:rPr>
      <w:rFonts w:hint="eastAsia" w:ascii="仿宋_GB2312" w:eastAsia="仿宋_GB2312" w:cs="仿宋_GB2312"/>
      <w:color w:val="333333"/>
      <w:sz w:val="24"/>
      <w:szCs w:val="24"/>
      <w:u w:val="none"/>
    </w:rPr>
  </w:style>
  <w:style w:type="character" w:customStyle="1" w:styleId="30">
    <w:name w:val="font41"/>
    <w:basedOn w:val="19"/>
    <w:qFormat/>
    <w:uiPriority w:val="0"/>
    <w:rPr>
      <w:rFonts w:hint="eastAsia" w:ascii="宋体" w:hAnsi="宋体" w:eastAsia="宋体" w:cs="宋体"/>
      <w:color w:val="000000"/>
      <w:sz w:val="24"/>
      <w:szCs w:val="24"/>
      <w:u w:val="none"/>
    </w:rPr>
  </w:style>
  <w:style w:type="character" w:customStyle="1" w:styleId="31">
    <w:name w:val="font71"/>
    <w:basedOn w:val="19"/>
    <w:qFormat/>
    <w:uiPriority w:val="0"/>
    <w:rPr>
      <w:rFonts w:hint="eastAsia" w:ascii="宋体" w:hAnsi="宋体" w:eastAsia="宋体" w:cs="宋体"/>
      <w:color w:val="000000"/>
      <w:sz w:val="20"/>
      <w:szCs w:val="20"/>
      <w:u w:val="none"/>
    </w:rPr>
  </w:style>
  <w:style w:type="character" w:customStyle="1" w:styleId="32">
    <w:name w:val="font81"/>
    <w:basedOn w:val="19"/>
    <w:qFormat/>
    <w:uiPriority w:val="0"/>
    <w:rPr>
      <w:rFonts w:hint="eastAsia" w:ascii="宋体" w:hAnsi="宋体" w:eastAsia="宋体" w:cs="宋体"/>
      <w:color w:val="000000"/>
      <w:sz w:val="20"/>
      <w:szCs w:val="20"/>
      <w:u w:val="none"/>
    </w:rPr>
  </w:style>
  <w:style w:type="character" w:customStyle="1" w:styleId="33">
    <w:name w:val="font101"/>
    <w:basedOn w:val="19"/>
    <w:qFormat/>
    <w:uiPriority w:val="0"/>
    <w:rPr>
      <w:rFonts w:hint="eastAsia" w:ascii="宋体" w:hAnsi="宋体" w:eastAsia="宋体" w:cs="宋体"/>
      <w:color w:val="000000"/>
      <w:sz w:val="20"/>
      <w:szCs w:val="20"/>
      <w:u w:val="none"/>
    </w:rPr>
  </w:style>
  <w:style w:type="character" w:customStyle="1" w:styleId="34">
    <w:name w:val="font112"/>
    <w:basedOn w:val="19"/>
    <w:qFormat/>
    <w:uiPriority w:val="0"/>
    <w:rPr>
      <w:rFonts w:hint="eastAsia" w:ascii="宋体" w:hAnsi="宋体" w:eastAsia="宋体" w:cs="宋体"/>
      <w:color w:val="000000"/>
      <w:sz w:val="20"/>
      <w:szCs w:val="20"/>
      <w:u w:val="none"/>
    </w:rPr>
  </w:style>
  <w:style w:type="character" w:customStyle="1" w:styleId="35">
    <w:name w:val="font91"/>
    <w:basedOn w:val="19"/>
    <w:qFormat/>
    <w:uiPriority w:val="0"/>
    <w:rPr>
      <w:rFonts w:hint="eastAsia" w:ascii="宋体" w:hAnsi="宋体" w:eastAsia="宋体" w:cs="宋体"/>
      <w:color w:val="000000"/>
      <w:sz w:val="20"/>
      <w:szCs w:val="20"/>
      <w:u w:val="none"/>
    </w:rPr>
  </w:style>
  <w:style w:type="character" w:customStyle="1" w:styleId="36">
    <w:name w:val="font61"/>
    <w:basedOn w:val="19"/>
    <w:qFormat/>
    <w:uiPriority w:val="0"/>
    <w:rPr>
      <w:rFonts w:ascii="黑体" w:hAnsi="宋体" w:eastAsia="黑体" w:cs="黑体"/>
      <w:color w:val="000000"/>
      <w:sz w:val="20"/>
      <w:szCs w:val="20"/>
      <w:u w:val="none"/>
    </w:rPr>
  </w:style>
  <w:style w:type="character" w:customStyle="1" w:styleId="37">
    <w:name w:val="font51"/>
    <w:basedOn w:val="19"/>
    <w:qFormat/>
    <w:uiPriority w:val="0"/>
    <w:rPr>
      <w:rFonts w:hint="eastAsia" w:ascii="宋体" w:hAnsi="宋体" w:eastAsia="宋体" w:cs="宋体"/>
      <w:color w:val="000000"/>
      <w:sz w:val="20"/>
      <w:szCs w:val="20"/>
      <w:u w:val="none"/>
    </w:rPr>
  </w:style>
  <w:style w:type="character" w:customStyle="1" w:styleId="38">
    <w:name w:val="font111"/>
    <w:basedOn w:val="19"/>
    <w:qFormat/>
    <w:uiPriority w:val="0"/>
    <w:rPr>
      <w:rFonts w:hint="eastAsia" w:ascii="宋体" w:hAnsi="宋体" w:eastAsia="宋体" w:cs="宋体"/>
      <w:color w:val="000000"/>
      <w:sz w:val="20"/>
      <w:szCs w:val="20"/>
      <w:u w:val="none"/>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 w:type="character" w:customStyle="1" w:styleId="41">
    <w:name w:val="UserStyle_5"/>
    <w:semiHidden/>
    <w:qFormat/>
    <w:uiPriority w:val="0"/>
    <w:rPr>
      <w:rFonts w:ascii="Calibri" w:hAnsi="Calibri"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22E04-DE4B-495E-BD6E-44FF09C04414}">
  <ds:schemaRefs/>
</ds:datastoreItem>
</file>

<file path=docProps/app.xml><?xml version="1.0" encoding="utf-8"?>
<Properties xmlns="http://schemas.openxmlformats.org/officeDocument/2006/extended-properties" xmlns:vt="http://schemas.openxmlformats.org/officeDocument/2006/docPropsVTypes">
  <Template>Normal</Template>
  <Pages>36</Pages>
  <Words>16590</Words>
  <Characters>17235</Characters>
  <Lines>85</Lines>
  <Paragraphs>24</Paragraphs>
  <TotalTime>2</TotalTime>
  <ScaleCrop>false</ScaleCrop>
  <LinksUpToDate>false</LinksUpToDate>
  <CharactersWithSpaces>17322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2023-07-30T14:26:00Z</dcterms:created>
  <dc:creator>哈哈哈</dc:creator>
  <cp:lastModifiedBy>admin</cp:lastModifiedBy>
  <cp:lastPrinted>2023-09-25T01:31:00Z</cp:lastPrinted>
  <dcterms:modified xsi:type="dcterms:W3CDTF">2023-10-11T02:22:51Z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E6F32B12D7EC4757954A5488F2AFDF7C_13</vt:lpwstr>
  </property>
</Properties>
</file>