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keepLines/>
        <w:spacing w:after="0" w:line="580" w:lineRule="exact"/>
        <w:ind w:firstLine="0"/>
        <w:rPr>
          <w:rFonts w:hint="eastAsia" w:ascii="Times New Roman" w:hAnsi="Times New Roman" w:eastAsia="方正小标宋简体" w:cs="Times New Roman"/>
          <w:sz w:val="44"/>
          <w:szCs w:val="44"/>
          <w:lang w:val="en-US" w:eastAsia="zh-CN"/>
        </w:rPr>
      </w:pPr>
      <w:bookmarkStart w:id="0" w:name="bookmark5"/>
      <w:bookmarkStart w:id="1" w:name="bookmark4"/>
      <w:bookmarkStart w:id="2" w:name="bookmark3"/>
      <w:r>
        <w:rPr>
          <w:rFonts w:ascii="Times New Roman" w:hAnsi="Times New Roman" w:eastAsia="方正小标宋简体" w:cs="Times New Roman"/>
          <w:sz w:val="44"/>
          <w:szCs w:val="44"/>
        </w:rPr>
        <mc:AlternateContent>
          <mc:Choice Requires="wps">
            <w:drawing>
              <wp:anchor distT="63500" distB="0" distL="114300" distR="114300" simplePos="0" relativeHeight="251660288" behindDoc="0" locked="0" layoutInCell="1" allowOverlap="1">
                <wp:simplePos x="0" y="0"/>
                <wp:positionH relativeFrom="page">
                  <wp:posOffset>8959215</wp:posOffset>
                </wp:positionH>
                <wp:positionV relativeFrom="margin">
                  <wp:posOffset>1525270</wp:posOffset>
                </wp:positionV>
                <wp:extent cx="2957195" cy="798830"/>
                <wp:effectExtent l="1079500" t="0" r="0" b="0"/>
                <wp:wrapTopAndBottom/>
                <wp:docPr id="3" name="Shape 3"/>
                <wp:cNvGraphicFramePr/>
                <a:graphic xmlns:a="http://schemas.openxmlformats.org/drawingml/2006/main">
                  <a:graphicData uri="http://schemas.microsoft.com/office/word/2010/wordprocessingShape">
                    <wps:wsp>
                      <wps:cNvSpPr txBox="1"/>
                      <wps:spPr>
                        <a:xfrm rot="3300000">
                          <a:off x="0" y="0"/>
                          <a:ext cx="2957195" cy="798830"/>
                        </a:xfrm>
                        <a:prstGeom prst="rect">
                          <a:avLst/>
                        </a:prstGeom>
                        <a:noFill/>
                        <a:ln>
                          <a:noFill/>
                        </a:ln>
                        <a:effectLst/>
                      </wps:spPr>
                      <wps:txbx>
                        <w:txbxContent>
                          <w:p>
                            <w:pPr>
                              <w:rPr>
                                <w:lang w:eastAsia="zh-CN"/>
                              </w:rPr>
                            </w:pPr>
                          </w:p>
                        </w:txbxContent>
                      </wps:txbx>
                      <wps:bodyPr lIns="0" tIns="0" rIns="0" bIns="0">
                        <a:noAutofit/>
                      </wps:bodyPr>
                    </wps:wsp>
                  </a:graphicData>
                </a:graphic>
              </wp:anchor>
            </w:drawing>
          </mc:Choice>
          <mc:Fallback>
            <w:pict>
              <v:shape id="Shape 3" o:spid="_x0000_s1026" o:spt="202" type="#_x0000_t202" style="position:absolute;left:0pt;margin-left:705.45pt;margin-top:120.1pt;height:62.9pt;width:232.85pt;mso-position-horizontal-relative:page;mso-position-vertical-relative:margin;mso-wrap-distance-bottom:0pt;mso-wrap-distance-top:5pt;rotation:3604480f;z-index:251660288;mso-width-relative:page;mso-height-relative:page;" filled="f" stroked="f" coordsize="21600,21600" o:gfxdata="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F2ZydoAAAANAQAADwAAAAAAAAABACAAAAAiAAAAZHJzL2Rvd25yZXYueG1s&#10;UEsBAhQAFAAAAAgAh07iQDG6U9q9AQAAmAMAAA4AAAAAAAAAAQAgAAAAKQEAAGRycy9lMm9Eb2Mu&#10;eG1sUEsFBgAAAAAGAAYAWQEAAFgFAAAAAA==&#10;">
                <v:fill on="f" focussize="0,0"/>
                <v:stroke on="f"/>
                <v:imagedata o:title=""/>
                <o:lock v:ext="edit" aspectratio="f"/>
                <v:textbox inset="0mm,0mm,0mm,0mm">
                  <w:txbxContent>
                    <w:p>
                      <w:pPr>
                        <w:rPr>
                          <w:lang w:eastAsia="zh-CN"/>
                        </w:rPr>
                      </w:pPr>
                    </w:p>
                  </w:txbxContent>
                </v:textbox>
                <w10:wrap type="topAndBottom"/>
              </v:shape>
            </w:pict>
          </mc:Fallback>
        </mc:AlternateContent>
      </w:r>
      <w:r>
        <w:rPr>
          <w:rFonts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开福区</w:t>
      </w:r>
      <w:r>
        <w:rPr>
          <w:rFonts w:ascii="Times New Roman" w:hAnsi="Times New Roman" w:eastAsia="方正小标宋简体" w:cs="Times New Roman"/>
          <w:sz w:val="44"/>
          <w:szCs w:val="44"/>
        </w:rPr>
        <w:t>普惠托育服务机构建设实施方案</w:t>
      </w:r>
      <w:r>
        <w:rPr>
          <w:rFonts w:ascii="Times New Roman" w:hAnsi="Times New Roman" w:eastAsia="方正小标宋简体" w:cs="Times New Roman"/>
          <w:sz w:val="44"/>
          <w:szCs w:val="44"/>
          <w:lang w:eastAsia="zh-CN"/>
        </w:rPr>
        <w:t>》</w:t>
      </w:r>
      <w:bookmarkEnd w:id="0"/>
      <w:bookmarkEnd w:id="1"/>
      <w:bookmarkEnd w:id="2"/>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审</w:t>
      </w: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议</w:t>
      </w: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稿</w:t>
      </w: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共中央国务院关于优化生育政策促进人口长期均衡发展的决定》（中发〔2021〕30号）、《中共湖南省委湖南省人民政府印发〈关于优化生育政策促进人口长期均衡发展的实施方案〉的通知》（湘发〔2022〕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《中共长沙市委长沙市人民政府印发〈关于优化生育政策促进人口长期均衡发展的工作方案〉的通知》（长发〔2022〕</w:t>
      </w:r>
      <w:r>
        <w:rPr>
          <w:rFonts w:hint="eastAsia" w:ascii="仿宋_GB2312" w:hAnsi="仿宋_GB2312" w:eastAsia="仿宋_GB2312" w:cs="仿宋_GB2312"/>
          <w:kern w:val="0"/>
          <w:sz w:val="32"/>
          <w:szCs w:val="32"/>
        </w:rPr>
        <w:t>21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长沙市卫生健康委员会等部门联合下发的《关于印发&lt;长沙市普惠托育服务机构建设实施方案&gt;的通知》（长卫发</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69号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等文件要求，深入推进普惠托育服务高质量发展，结合我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实际，特制定以下实施方案。</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按照“政府引导、多方参与、社会运营、普惠可及”原则，推动建设一批便捷、普惠、优质的托育服务机构，逐步满足人民群众托育服务需求</w:t>
      </w:r>
      <w:r>
        <w:rPr>
          <w:rFonts w:hint="eastAsia" w:ascii="仿宋_GB2312" w:hAnsi="仿宋_GB2312" w:eastAsia="仿宋_GB2312" w:cs="仿宋_GB2312"/>
          <w:sz w:val="32"/>
          <w:szCs w:val="32"/>
          <w:highlight w:val="none"/>
        </w:rPr>
        <w:t>。“十四五”期间，争取每年支持新建普惠托位</w:t>
      </w:r>
      <w:r>
        <w:rPr>
          <w:rFonts w:hint="eastAsia" w:ascii="仿宋_GB2312" w:hAnsi="仿宋_GB2312" w:eastAsia="仿宋_GB2312" w:cs="仿宋_GB2312"/>
          <w:sz w:val="32"/>
          <w:szCs w:val="32"/>
          <w:highlight w:val="none"/>
          <w:lang w:val="en-US" w:eastAsia="zh-CN"/>
        </w:rPr>
        <w:t>544</w:t>
      </w:r>
      <w:r>
        <w:rPr>
          <w:rFonts w:hint="eastAsia" w:ascii="仿宋_GB2312" w:hAnsi="仿宋_GB2312" w:eastAsia="仿宋_GB2312" w:cs="仿宋_GB2312"/>
          <w:sz w:val="32"/>
          <w:szCs w:val="32"/>
          <w:highlight w:val="none"/>
        </w:rPr>
        <w:t>个。到2025年底，每千人口拥有3岁以下婴幼儿托位数不少于4.5个，普惠性托位占比达60%以上。</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二、主要内容</w:t>
      </w:r>
    </w:p>
    <w:p>
      <w:pPr>
        <w:spacing w:line="62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（一）积极发展多种形式普惠托育服务机构</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支持公办托育服务机构建设。采取公办民营、公建民营等形式，通过政府配套资金，提供场地，争取中央预算投资支持，加大公办托育服务机构建设力度。到2025年，我区至少建成一个公办托育服务机构，发挥示范引领、带动辐射作用，为托育服务高质量发展提供技术支撑及样板标杆。</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自然资源规划局、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住房城乡建设局〕</w:t>
      </w:r>
    </w:p>
    <w:p>
      <w:pPr>
        <w:spacing w:line="620" w:lineRule="exact"/>
        <w:ind w:firstLine="640" w:firstLineChars="200"/>
        <w:rPr>
          <w:rFonts w:ascii="仿宋_GB2312" w:hAnsi="仿宋_GB2312" w:eastAsia="仿宋_GB2312" w:cs="仿宋_GB2312"/>
          <w:color w:val="93CDDD" w:themeColor="accent5" w:themeTint="99"/>
          <w:sz w:val="32"/>
          <w:szCs w:val="32"/>
          <w14:textFill>
            <w14:solidFill>
              <w14:schemeClr w14:val="accent5">
                <w14:lumMod w14:val="60000"/>
                <w14:lumOff w14:val="40000"/>
              </w14:schemeClr>
            </w14:solidFill>
          </w14:textFill>
        </w:rPr>
      </w:pPr>
      <w:r>
        <w:rPr>
          <w:rFonts w:hint="eastAsia" w:ascii="仿宋_GB2312" w:hAnsi="仿宋_GB2312" w:eastAsia="仿宋_GB2312" w:cs="仿宋_GB2312"/>
          <w:sz w:val="32"/>
          <w:szCs w:val="32"/>
        </w:rPr>
        <w:t>2.推进幼儿园提供托育服务。在满足学前教育普及的基础上，鼓励和支持有条件的幼儿园招收2-3岁的幼儿。建立健全幼儿园开展托育服务的管理制度，完善幼儿园托育服务的信息共享和联合监管协调机制。</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80" w:lineRule="exact"/>
        <w:ind w:right="0" w:rightChars="0" w:firstLine="320" w:firstLineChars="1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加大社区普惠托育服务供给。综合利用社区资源，鼓励社会力量举办托育服务机构开展社区托育服务，为社区居民提供全日托、半日托、计时托、临时托、亲子活动和养育指导等服务。设计居住容量达1200户以上的新建住宅小区，按每1000人配备10个托位的标准设计和建设托育服务设施，并与住宅同步建设、验收和交付。对符合改扩建条件的老旧小区，按完整居住社区建设标准，逐步改建、增建托育服务设施。</w:t>
      </w:r>
      <w:r>
        <w:rPr>
          <w:rFonts w:hint="eastAsia" w:ascii="仿宋_GB2312" w:hAnsi="仿宋_GB2312" w:eastAsia="仿宋_GB2312" w:cs="仿宋_GB2312"/>
          <w:bCs/>
          <w:sz w:val="32"/>
          <w:szCs w:val="32"/>
        </w:rPr>
        <w:t>鼓励基层计划生育协会</w:t>
      </w:r>
      <w:r>
        <w:rPr>
          <w:rFonts w:hint="eastAsia" w:ascii="仿宋_GB2312" w:hAnsi="仿宋_GB2312" w:eastAsia="仿宋_GB2312" w:cs="仿宋_GB2312"/>
          <w:sz w:val="32"/>
          <w:szCs w:val="32"/>
        </w:rPr>
        <w:t>积极</w:t>
      </w:r>
      <w:r>
        <w:rPr>
          <w:rFonts w:hint="eastAsia" w:ascii="仿宋_GB2312" w:hAnsi="仿宋_GB2312" w:eastAsia="仿宋_GB2312" w:cs="仿宋_GB2312"/>
          <w:bCs/>
          <w:sz w:val="32"/>
          <w:szCs w:val="32"/>
        </w:rPr>
        <w:t>参与</w:t>
      </w:r>
      <w:r>
        <w:rPr>
          <w:rFonts w:hint="eastAsia" w:ascii="仿宋_GB2312" w:hAnsi="仿宋_GB2312" w:eastAsia="仿宋_GB2312" w:cs="仿宋_GB2312"/>
          <w:sz w:val="32"/>
          <w:szCs w:val="32"/>
        </w:rPr>
        <w:t>社区托育服务机构开展亲子课堂、家庭科学育儿指导等服务</w:t>
      </w:r>
      <w:r>
        <w:rPr>
          <w:rFonts w:hint="eastAsia" w:ascii="仿宋_GB2312" w:hAnsi="仿宋_GB2312" w:eastAsia="仿宋_GB2312" w:cs="仿宋_GB2312"/>
          <w:bCs/>
          <w:sz w:val="32"/>
          <w:szCs w:val="32"/>
        </w:rPr>
        <w:t>。</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民政局、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自然资源规划局、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住房城乡建设局、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人居环境局、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计划生育协会〕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持用人单位提供托育服务。充分盘活利用低效、闲置国有房屋资产，将符合条件的房屋改造建设成托育服务机构。支持用人单位采用自主办园、提供场地、购买第三方服务等方式为职工提供普惠托育服务，有条件的可向社会开放。允许使用工会经费为职工提供托育服务。</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妇幼保健</w:t>
      </w:r>
      <w:r>
        <w:rPr>
          <w:rFonts w:hint="eastAsia" w:ascii="仿宋_GB2312" w:hAnsi="仿宋_GB2312" w:eastAsia="仿宋_GB2312" w:cs="仿宋_GB2312"/>
          <w:sz w:val="32"/>
          <w:szCs w:val="32"/>
          <w:lang w:val="en-US" w:eastAsia="zh-CN"/>
        </w:rPr>
        <w:t>计划生育服务中心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医疗机构等要充分发挥专业和人才优势，探索发展“医育结合”托育服务模式。</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开福城投集团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总工会〕</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5.大力发展普惠性托育服务机构。发挥城乡社区公共服务设施的婴幼儿照护服务功能，推动有条件的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将婴幼儿照护服务纳入城乡社区服务范围，加强社区托育服务机构与社区服务中心及社区卫生、文化、体育等设施的功能衔接。鼓励基层综合利用符合条件的妇女儿童</w:t>
      </w:r>
      <w:r>
        <w:rPr>
          <w:rFonts w:hint="eastAsia" w:ascii="仿宋_GB2312" w:hAnsi="仿宋_GB2312" w:eastAsia="仿宋_GB2312" w:cs="仿宋_GB2312"/>
          <w:sz w:val="32"/>
          <w:szCs w:val="32"/>
          <w:lang w:eastAsia="zh-CN"/>
        </w:rPr>
        <w:t>活动中心、</w:t>
      </w:r>
      <w:r>
        <w:rPr>
          <w:rFonts w:hint="eastAsia" w:ascii="仿宋_GB2312" w:hAnsi="仿宋_GB2312" w:eastAsia="仿宋_GB2312" w:cs="仿宋_GB2312"/>
          <w:sz w:val="32"/>
          <w:szCs w:val="32"/>
        </w:rPr>
        <w:t>妇女儿童之家、家庭教育指导服务中心等资源改扩建托育服务机构。鼓励有条件的托育服务机构与家政企业等合作，提供上门居家婴幼儿照护服务。发挥政府在发展托育服务机构工作中的主导作用，鼓励个人、企业、社会组织，采取单独或联合的形式，举办普惠托育服务机构。对社会力量开办普惠性托育服务机构的各街道（社区）可通过提供场地、减免租金等政策措施予以支持，全面打造15分钟托育服务圈。</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民政局、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妇联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各街道办事处</w:t>
      </w:r>
      <w:r>
        <w:rPr>
          <w:rFonts w:hint="eastAsia" w:ascii="仿宋_GB2312" w:hAnsi="仿宋_GB2312" w:eastAsia="仿宋_GB2312" w:cs="仿宋_GB2312"/>
          <w:color w:val="auto"/>
          <w:sz w:val="32"/>
          <w:szCs w:val="32"/>
        </w:rPr>
        <w:t>〕</w:t>
      </w:r>
    </w:p>
    <w:p>
      <w:pPr>
        <w:spacing w:line="620" w:lineRule="exact"/>
        <w:ind w:firstLine="640" w:firstLineChars="200"/>
        <w:rPr>
          <w:rFonts w:ascii="仿宋_GB2312" w:hAnsi="仿宋_GB2312" w:eastAsia="仿宋_GB2312" w:cs="仿宋_GB2312"/>
          <w:b/>
          <w:bCs/>
          <w:sz w:val="32"/>
          <w:szCs w:val="32"/>
        </w:rPr>
      </w:pPr>
      <w:r>
        <w:rPr>
          <w:rFonts w:hint="eastAsia" w:ascii="楷体" w:hAnsi="楷体" w:eastAsia="楷体" w:cs="楷体"/>
          <w:bCs/>
          <w:sz w:val="32"/>
          <w:szCs w:val="32"/>
        </w:rPr>
        <w:t>（二）加强普惠托育服务政策支持</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1.制定婴幼儿照护机构布局建设专项规划。根据婴幼儿照护机构布局建设专项规划和居住公共服务配置规定相关要求，</w:t>
      </w:r>
      <w:r>
        <w:rPr>
          <w:rFonts w:hint="eastAsia" w:ascii="仿宋_GB2312" w:hAnsi="仿宋_GB2312" w:eastAsia="仿宋_GB2312" w:cs="仿宋_GB2312"/>
          <w:sz w:val="32"/>
          <w:szCs w:val="32"/>
          <w:lang w:eastAsia="zh-CN"/>
        </w:rPr>
        <w:t>配合市级职能部门</w:t>
      </w:r>
      <w:r>
        <w:rPr>
          <w:rFonts w:hint="eastAsia" w:ascii="仿宋_GB2312" w:hAnsi="仿宋_GB2312" w:eastAsia="仿宋_GB2312" w:cs="仿宋_GB2312"/>
          <w:sz w:val="32"/>
          <w:szCs w:val="32"/>
        </w:rPr>
        <w:t>在土地出让、项目报批等环节完善落实完整居住社区托儿所配建要求。允许教育、医卫、福利、商服等用地类别用于发展托育服务。创造条件允许在不调整规划的情况下，由企业利用</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现有闲置且符合卫生、防护等标准的设施进行改造建设，举办托育服务机构。依法依规做好托育服务机构建设项目的设计审查（含消防）、消防验收及备案抽查等服务工作。参与定期集中处置存量房和设施改造托育服务机构建设手续办理“一事一议”相关工作。</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自然资源规划</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住房城乡建设局、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人居环境局〕</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80" w:lineRule="exact"/>
        <w:ind w:right="0" w:rightChars="0" w:firstLine="320" w:firstLineChars="100"/>
        <w:jc w:val="both"/>
        <w:textAlignment w:val="auto"/>
        <w:rPr>
          <w:rFonts w:hint="eastAsia" w:ascii="仿宋_GB2312" w:hAnsi="仿宋_GB2312" w:eastAsia="仿宋_GB2312" w:cs="仿宋_GB2312"/>
          <w:color w:val="000000"/>
          <w:sz w:val="32"/>
          <w:szCs w:val="32"/>
          <w:lang w:val="en-US" w:eastAsia="en-US" w:bidi="en-US"/>
        </w:rPr>
      </w:pPr>
      <w:r>
        <w:rPr>
          <w:rFonts w:hint="eastAsia" w:ascii="仿宋_GB2312" w:hAnsi="仿宋_GB2312" w:eastAsia="仿宋_GB2312" w:cs="仿宋_GB2312"/>
          <w:sz w:val="32"/>
          <w:szCs w:val="32"/>
        </w:rPr>
        <w:t>2.建立普惠托育服务机构财政补贴制度。鼓励支持举办各类普惠性托育服务机构，为群众提供质量有保障、价格可接受、方便可及的托育服务。</w:t>
      </w:r>
      <w:r>
        <w:rPr>
          <w:rFonts w:hint="eastAsia" w:ascii="仿宋_GB2312" w:hAnsi="仿宋_GB2312" w:eastAsia="仿宋_GB2312" w:cs="仿宋_GB2312"/>
          <w:sz w:val="32"/>
          <w:szCs w:val="32"/>
          <w:lang w:eastAsia="zh-CN"/>
        </w:rPr>
        <w:t>明确补助标准：</w:t>
      </w:r>
      <w:r>
        <w:rPr>
          <w:rFonts w:hint="eastAsia" w:ascii="仿宋_GB2312" w:hAnsi="仿宋_GB2312" w:eastAsia="仿宋_GB2312" w:cs="仿宋_GB2312"/>
          <w:color w:val="000000"/>
          <w:sz w:val="32"/>
          <w:szCs w:val="32"/>
          <w:lang w:val="en-US" w:eastAsia="en-US" w:bidi="en-US"/>
        </w:rPr>
        <w:t>新建</w:t>
      </w:r>
      <w:r>
        <w:rPr>
          <w:rFonts w:hint="eastAsia" w:ascii="仿宋_GB2312" w:hAnsi="仿宋_GB2312" w:eastAsia="仿宋_GB2312" w:cs="仿宋_GB2312"/>
          <w:color w:val="000000"/>
          <w:sz w:val="32"/>
          <w:szCs w:val="32"/>
          <w:lang w:val="en-US" w:eastAsia="zh-CN" w:bidi="en-US"/>
        </w:rPr>
        <w:t>（含改建）</w:t>
      </w:r>
      <w:r>
        <w:rPr>
          <w:rFonts w:hint="eastAsia" w:ascii="仿宋_GB2312" w:hAnsi="仿宋_GB2312" w:eastAsia="仿宋_GB2312" w:cs="仿宋_GB2312"/>
          <w:color w:val="000000"/>
          <w:sz w:val="32"/>
          <w:szCs w:val="32"/>
          <w:lang w:val="en-US" w:eastAsia="en-US" w:bidi="en-US"/>
        </w:rPr>
        <w:t>社会办普惠托育服务机构完成登记备案，按实际收托数1个托位给予1万元的补助。项目单个托位投入低于2万元的，财政资金按实际投资总额的50%比例进行支持。市区两级按事权与财权相统一原则安排普惠托育服务机构建设专项资金，</w:t>
      </w:r>
      <w:r>
        <w:rPr>
          <w:rFonts w:hint="eastAsia" w:ascii="仿宋_GB2312" w:hAnsi="仿宋_GB2312" w:eastAsia="仿宋_GB2312" w:cs="仿宋_GB2312"/>
          <w:color w:val="000000"/>
          <w:sz w:val="32"/>
          <w:szCs w:val="32"/>
          <w:lang w:val="en-US" w:eastAsia="zh-CN" w:bidi="en-US"/>
        </w:rPr>
        <w:t>区级财政</w:t>
      </w:r>
      <w:r>
        <w:rPr>
          <w:rFonts w:hint="eastAsia" w:ascii="仿宋_GB2312" w:hAnsi="仿宋_GB2312" w:eastAsia="仿宋_GB2312" w:cs="仿宋_GB2312"/>
          <w:color w:val="000000"/>
          <w:sz w:val="32"/>
          <w:szCs w:val="32"/>
          <w:lang w:val="en-US" w:eastAsia="en-US" w:bidi="en-US"/>
        </w:rPr>
        <w:t>分担</w:t>
      </w:r>
      <w:r>
        <w:rPr>
          <w:rFonts w:hint="eastAsia" w:ascii="仿宋_GB2312" w:hAnsi="仿宋_GB2312" w:eastAsia="仿宋_GB2312" w:cs="仿宋_GB2312"/>
          <w:color w:val="000000"/>
          <w:sz w:val="32"/>
          <w:szCs w:val="32"/>
          <w:lang w:val="en-US" w:eastAsia="zh-CN" w:bidi="en-US"/>
        </w:rPr>
        <w:t>60%。</w:t>
      </w:r>
      <w:r>
        <w:rPr>
          <w:rFonts w:hint="eastAsia" w:ascii="仿宋_GB2312" w:hAnsi="仿宋_GB2312" w:eastAsia="仿宋_GB2312" w:cs="仿宋_GB2312"/>
          <w:color w:val="000000"/>
          <w:sz w:val="32"/>
          <w:szCs w:val="32"/>
          <w:lang w:val="en-US" w:eastAsia="en-US" w:bidi="en-US"/>
        </w:rPr>
        <w:t>〔责任单位：</w:t>
      </w:r>
      <w:r>
        <w:rPr>
          <w:rFonts w:hint="eastAsia" w:ascii="仿宋_GB2312" w:hAnsi="仿宋_GB2312" w:eastAsia="仿宋_GB2312" w:cs="仿宋_GB2312"/>
          <w:color w:val="000000"/>
          <w:sz w:val="32"/>
          <w:szCs w:val="32"/>
          <w:lang w:val="en-US" w:eastAsia="zh-CN" w:bidi="en-US"/>
        </w:rPr>
        <w:t>区</w:t>
      </w:r>
      <w:r>
        <w:rPr>
          <w:rFonts w:hint="eastAsia" w:ascii="仿宋_GB2312" w:hAnsi="仿宋_GB2312" w:eastAsia="仿宋_GB2312" w:cs="仿宋_GB2312"/>
          <w:color w:val="000000"/>
          <w:sz w:val="32"/>
          <w:szCs w:val="32"/>
          <w:lang w:val="en-US" w:eastAsia="en-US" w:bidi="en-US"/>
        </w:rPr>
        <w:t>卫生健康</w:t>
      </w:r>
      <w:r>
        <w:rPr>
          <w:rFonts w:hint="eastAsia" w:ascii="仿宋_GB2312" w:hAnsi="仿宋_GB2312" w:eastAsia="仿宋_GB2312" w:cs="仿宋_GB2312"/>
          <w:color w:val="000000"/>
          <w:sz w:val="32"/>
          <w:szCs w:val="32"/>
          <w:lang w:val="en-US" w:eastAsia="zh-CN" w:bidi="en-US"/>
        </w:rPr>
        <w:t>局</w:t>
      </w:r>
      <w:r>
        <w:rPr>
          <w:rFonts w:hint="eastAsia" w:ascii="仿宋_GB2312" w:hAnsi="仿宋_GB2312" w:eastAsia="仿宋_GB2312" w:cs="仿宋_GB2312"/>
          <w:color w:val="000000"/>
          <w:sz w:val="32"/>
          <w:szCs w:val="32"/>
          <w:lang w:val="en-US" w:eastAsia="en-US" w:bidi="en-US"/>
        </w:rPr>
        <w:t>、</w:t>
      </w:r>
      <w:r>
        <w:rPr>
          <w:rFonts w:hint="eastAsia" w:ascii="仿宋_GB2312" w:hAnsi="仿宋_GB2312" w:eastAsia="仿宋_GB2312" w:cs="仿宋_GB2312"/>
          <w:color w:val="000000"/>
          <w:sz w:val="32"/>
          <w:szCs w:val="32"/>
          <w:lang w:val="en-US" w:eastAsia="zh-CN" w:bidi="en-US"/>
        </w:rPr>
        <w:t>区</w:t>
      </w:r>
      <w:r>
        <w:rPr>
          <w:rFonts w:hint="eastAsia" w:ascii="仿宋_GB2312" w:hAnsi="仿宋_GB2312" w:eastAsia="仿宋_GB2312" w:cs="仿宋_GB2312"/>
          <w:color w:val="000000"/>
          <w:sz w:val="32"/>
          <w:szCs w:val="32"/>
          <w:lang w:val="en-US" w:eastAsia="en-US" w:bidi="en-US"/>
        </w:rPr>
        <w:t>财政局〕</w:t>
      </w:r>
    </w:p>
    <w:p>
      <w:pPr>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降低托育服务机构运营成本。加大对中央预算内投资申报项目的支持力度，落实托育服务机构用水用电用气按照居民生活类价格执行优惠政策。按国家有关规定落实对托育等社区家庭服务业的增值税、企业所得税、契税、房产税、城镇土地使用税等税费优惠政策。制定托育服务机构关停等特殊情况应急处置机制，推动保险机构发展托育服务机构责任险和意外险业务。按国家发展改革委等13部门</w:t>
      </w:r>
      <w:r>
        <w:rPr>
          <w:rFonts w:hint="eastAsia" w:ascii="仿宋_GB2312" w:hAnsi="仿宋_GB2312" w:eastAsia="仿宋_GB2312" w:cs="仿宋_GB2312"/>
          <w:bCs/>
          <w:sz w:val="32"/>
          <w:szCs w:val="32"/>
        </w:rPr>
        <w:t>《养老托育服务业纾困扶持若干政策措施》要求，</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疫情期间托育企业房租减免、税费减免、社会保险支付、金融支持、防疫支持等纾困扶持政策措施。</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金</w:t>
      </w:r>
      <w:r>
        <w:rPr>
          <w:rFonts w:hint="eastAsia" w:ascii="仿宋_GB2312" w:hAnsi="仿宋_GB2312" w:eastAsia="仿宋_GB2312" w:cs="仿宋_GB2312"/>
          <w:color w:val="auto"/>
          <w:sz w:val="32"/>
          <w:szCs w:val="32"/>
          <w:lang w:val="en-US" w:eastAsia="zh-CN"/>
        </w:rPr>
        <w:t>融工作办公室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税务</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4.明确普惠托育服务价格。普惠托育服务收费标准由区卫生健康局会同发展改革部门综合考虑当地居民收入水平、服务成本、财政补贴情况及市场行情与项目单位协商确定。</w:t>
      </w:r>
      <w:r>
        <w:rPr>
          <w:rFonts w:hint="eastAsia" w:ascii="仿宋_GB2312" w:hAnsi="仿宋_GB2312" w:eastAsia="仿宋_GB2312" w:cs="仿宋_GB2312"/>
          <w:sz w:val="32"/>
          <w:szCs w:val="32"/>
        </w:rPr>
        <w:t>每月保育费（不含餐费）原则上不得高于上年度当地居民月人均可支配收入的50%（按年度收入平均每月计算）。公办托育服务机构收费纳入政府指导价管理。逐步建立起托育服务价格监测体系和动态调整机制，不断强化托育服务的公共服务属性。〔责任单位：</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发展改革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p>
    <w:p>
      <w:pPr>
        <w:pStyle w:val="5"/>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sz w:val="32"/>
          <w:szCs w:val="32"/>
        </w:rPr>
        <w:t>5.加强托育服务人才培养和学科建设。依法实行托育服务从业人员职业资格准入和持证上岗制度。加强管理人员和托育服务从业人员培训，</w:t>
      </w:r>
      <w:r>
        <w:rPr>
          <w:rFonts w:hint="eastAsia" w:ascii="仿宋_GB2312" w:hAnsi="仿宋_GB2312" w:eastAsia="仿宋_GB2312" w:cs="仿宋_GB2312"/>
          <w:sz w:val="32"/>
          <w:szCs w:val="32"/>
        </w:rPr>
        <w:t>落实育婴员、保育师等托育服务从业人员职业培训补贴制度，</w:t>
      </w:r>
      <w:r>
        <w:rPr>
          <w:rFonts w:hint="eastAsia" w:ascii="仿宋_GB2312" w:hAnsi="仿宋_GB2312" w:eastAsia="仿宋_GB2312" w:cs="仿宋_GB2312"/>
          <w:bCs/>
          <w:sz w:val="32"/>
          <w:szCs w:val="32"/>
        </w:rPr>
        <w:t>以婴幼儿照护服务指导中心等为依托，构建职前教育与在职教育相衔接的从业人员培训培养体系。加强与大中专院校及专业机构合作，积极开展相关职业资格培训，提高队伍专业化水平。鼓励相关机构参与研究制定托育服务机构发展规划、标准、规范和课程设置，举办托育服务专业研讨会，开展托育服务发展实践探索、研发教材和学具等活动。</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人力资源和社会保障局〕</w:t>
      </w:r>
    </w:p>
    <w:p>
      <w:pPr>
        <w:pStyle w:val="5"/>
        <w:spacing w:line="620" w:lineRule="exact"/>
        <w:ind w:firstLine="640" w:firstLineChars="200"/>
        <w:rPr>
          <w:rFonts w:ascii="仿宋_GB2312" w:hAnsi="仿宋_GB2312" w:eastAsia="仿宋_GB2312" w:cs="仿宋_GB2312"/>
          <w:b/>
          <w:sz w:val="32"/>
          <w:szCs w:val="32"/>
        </w:rPr>
      </w:pPr>
      <w:r>
        <w:rPr>
          <w:rFonts w:hint="eastAsia" w:ascii="楷体" w:hAnsi="楷体" w:eastAsia="楷体" w:cs="楷体"/>
          <w:bCs/>
          <w:sz w:val="32"/>
          <w:szCs w:val="32"/>
        </w:rPr>
        <w:t>（三）加强托育服务机构监管</w:t>
      </w:r>
    </w:p>
    <w:p>
      <w:pPr>
        <w:pStyle w:val="5"/>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1.加强托育服务信息化建设。在建立和完善托育服务机构台账管理制度的基础上，搭建全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婴幼儿照护服务信息管理平台，对接公安部门“一键报警”和视频监控管理系统，建立托育服务机构、从业人员、入托婴幼儿信息、监管信息等电子档案，促进卫生健康、公安等行政管理部门与托育服务机构、婴幼儿家庭有效衔接，实现托育服务机构智慧监管，将机构、人员、周边环境的安全防护服务做实做优。</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开福</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p>
    <w:p>
      <w:pPr>
        <w:pStyle w:val="5"/>
        <w:spacing w:line="6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规范托育服务机构运营管理。认真落实《湖南省托育机构设置标准细则（试行）》《湖南省托育机构管理规范细则（试行）》等标准规范，建立健全托育服务机构安全管理制度。按照《托儿所幼儿园建筑设计规范（GJG39-2016）》《托育机构消防安全指南》等要求，强化建筑安全、消防安全，严格落实《托育机构卫生评价基本标准（试行）》，加强食品安全和人身安全。坚持保育为主、保教结合，推进托育服务机构专业化、标准化、规范化建设，切实保障婴幼儿安全健康成长。</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住房城乡建设局、</w:t>
      </w:r>
      <w:r>
        <w:rPr>
          <w:rFonts w:hint="eastAsia" w:ascii="仿宋_GB2312" w:hAnsi="仿宋_GB2312" w:eastAsia="仿宋_GB2312" w:cs="仿宋_GB2312"/>
          <w:color w:val="auto"/>
          <w:sz w:val="32"/>
          <w:szCs w:val="32"/>
          <w:lang w:val="en-US" w:eastAsia="zh-CN"/>
        </w:rPr>
        <w:t>开福</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消防救援支队〕</w:t>
      </w:r>
    </w:p>
    <w:p>
      <w:pPr>
        <w:pStyle w:val="5"/>
        <w:spacing w:line="620" w:lineRule="exact"/>
        <w:ind w:firstLine="640" w:firstLineChars="200"/>
        <w:rPr>
          <w:rFonts w:ascii="仿宋_GB2312" w:hAnsi="仿宋_GB2312" w:eastAsia="仿宋_GB2312" w:cs="仿宋_GB2312"/>
          <w:color w:val="93CDDD" w:themeColor="accent5" w:themeTint="99"/>
          <w:sz w:val="32"/>
          <w:szCs w:val="32"/>
          <w14:textFill>
            <w14:solidFill>
              <w14:schemeClr w14:val="accent5">
                <w14:lumMod w14:val="60000"/>
                <w14:lumOff w14:val="40000"/>
              </w14:schemeClr>
            </w14:solidFill>
          </w14:textFill>
        </w:rPr>
      </w:pPr>
      <w:r>
        <w:rPr>
          <w:rFonts w:hint="eastAsia" w:ascii="仿宋_GB2312" w:hAnsi="仿宋_GB2312" w:eastAsia="仿宋_GB2312" w:cs="仿宋_GB2312"/>
          <w:sz w:val="32"/>
          <w:szCs w:val="32"/>
        </w:rPr>
        <w:t>3.增强托育机构诚信服务能力。将托育服务机构全面纳入服务管理和能力评估，督促其按照有关规范标准进行登记备案，指导机构合法合规开展经营活动。加强日常监督巡查，建立监管台账和负面清单。对未经批准登记违法违规举办、录用有虐待拐卖暴力伤害等违法犯罪记录人员、预收费恶意逃欠，以及存在不符合卫生保健、食品和消防安全等有关规定的托育服务机构予以严肃查处，将托育机构及其法定代表人（主要负责人）的失信记录纳入信用信息共享平台，依法依规实施联合惩戒。鼓励托育服务机构主动公示机构人员信息，自觉接受社会监督。</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卫生健康</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开福</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color w:val="auto"/>
          <w:sz w:val="32"/>
          <w:szCs w:val="32"/>
          <w:lang w:eastAsia="zh-CN"/>
        </w:rPr>
        <w:t>区教育局、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计划生育协会〕</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三、工作流程</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根据居民实际需求和市</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两级财政承受能力，逐年确定“十四五”期间各年度任务。国家普惠托育专项行动项目可参照相关要求做好指导服务和项目储备，项目申报资料和时间要求按国家有关通知执行。</w:t>
      </w:r>
    </w:p>
    <w:p>
      <w:pPr>
        <w:spacing w:line="620" w:lineRule="exact"/>
        <w:ind w:firstLine="640" w:firstLineChars="200"/>
        <w:rPr>
          <w:rFonts w:ascii="仿宋_GB2312" w:hAnsi="仿宋_GB2312" w:eastAsia="仿宋_GB2312" w:cs="仿宋_GB2312"/>
          <w:b/>
          <w:bCs/>
          <w:sz w:val="32"/>
          <w:szCs w:val="32"/>
        </w:rPr>
      </w:pPr>
      <w:r>
        <w:rPr>
          <w:rFonts w:hint="eastAsia" w:ascii="楷体" w:hAnsi="楷体" w:eastAsia="楷体" w:cs="楷体"/>
          <w:bCs/>
          <w:sz w:val="32"/>
          <w:szCs w:val="32"/>
        </w:rPr>
        <w:t>（一）项目申报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每年3月底前完成项目申报工作。广泛宣传发动社会力量参与，街道办事处和社区配合项目单位做好前期准备工作</w:t>
      </w:r>
      <w:r>
        <w:rPr>
          <w:rFonts w:hint="eastAsia" w:ascii="仿宋_GB2312" w:hAnsi="仿宋_GB2312" w:eastAsia="仿宋_GB2312" w:cs="仿宋_GB2312"/>
          <w:sz w:val="32"/>
          <w:szCs w:val="32"/>
          <w:highlight w:val="none"/>
          <w:lang w:eastAsia="zh-CN"/>
        </w:rPr>
        <w:t>（其中利用既有建筑改、扩建为托育服务机构的，需提前对该建筑的房屋结构安全、消防安全、周边地质灾害情况及其他不利因素进行评估）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向区卫生健康局推荐条件成熟项目。申报企业填写《长沙市普惠托育服务机构建设项目申报表》（见附件1），同时需提供以下资料：</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1.项目基本情况介绍（包括企业简介、企业营业执照或民办非企业登记证书、税务证、法人身份证、项目持续运营可行性分析报告）；</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公安局提供的企业法人无违法犯罪证明；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3.企业财务审计报告和企业在银行存款证明；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4.国有土地使用证（自有土地、房屋项目提供国土证、房产证和不动产登记证，租赁土地、房屋项目提供土地、房屋业主的国土证、房产证和不动产登记证）；</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5.项目建设设计图纸；</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承诺书，包括以下内容：（1）申报项目建设托位是当年新增建设的托位；（2）未被列入联合惩戒合作备忘录黑名单；（3）申报项目必须是在建或在当年6月份之前开工建设，原则上当年10月底前完成建设；（4）承诺严格执行托育管理的相关政策和规范，提供科学、安全、优质、普惠托育服务，承担一定的社区亲子活动和家庭育儿指导服务任务。</w:t>
      </w:r>
    </w:p>
    <w:p>
      <w:pPr>
        <w:spacing w:line="620" w:lineRule="exact"/>
        <w:ind w:firstLine="640" w:firstLineChars="200"/>
        <w:rPr>
          <w:rFonts w:ascii="楷体" w:hAnsi="楷体" w:eastAsia="楷体" w:cs="楷体"/>
          <w:bCs/>
          <w:sz w:val="32"/>
          <w:szCs w:val="32"/>
        </w:rPr>
      </w:pPr>
      <w:r>
        <w:rPr>
          <w:rFonts w:hint="eastAsia" w:ascii="楷体" w:hAnsi="楷体" w:eastAsia="楷体" w:cs="楷体"/>
          <w:bCs/>
          <w:sz w:val="32"/>
          <w:szCs w:val="32"/>
        </w:rPr>
        <w:t>（二）指导遴选</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5月底前，由区卫生健康局会同相关部门单位完成对推荐项目的指导把关，采用“一事一议”方式研究项目规划许可、施工许可证、消防验收备案、室外场地设置等问题，确保项目合法合规可行。在此基础上竞争择优遴选出优质项目，确定本年度支持的普惠托育服务机构建设项目。区卫生健康局在官网上公示5个工作日无异议后，与企业签订合作协议。</w:t>
      </w:r>
    </w:p>
    <w:p>
      <w:pPr>
        <w:spacing w:line="620" w:lineRule="exact"/>
        <w:ind w:firstLine="640" w:firstLineChars="200"/>
        <w:rPr>
          <w:rFonts w:ascii="楷体" w:hAnsi="楷体" w:eastAsia="楷体" w:cs="楷体"/>
          <w:bCs/>
          <w:sz w:val="32"/>
          <w:szCs w:val="32"/>
        </w:rPr>
      </w:pPr>
      <w:r>
        <w:rPr>
          <w:rFonts w:hint="eastAsia" w:ascii="楷体" w:hAnsi="楷体" w:eastAsia="楷体" w:cs="楷体"/>
          <w:bCs/>
          <w:sz w:val="32"/>
          <w:szCs w:val="32"/>
        </w:rPr>
        <w:t>（三）验收备案</w:t>
      </w:r>
    </w:p>
    <w:p>
      <w:pPr>
        <w:widowControl/>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则上每年10月底前应完成项目的建设验收投入运营。项目的设计、施工、监理应由有资质的机构承担，工程竣工验收合格后，按照《湖南省托育机构登记和备案办法（试行）》要求完成备案。区卫生健康局将项目验收资料和合作协议报送市卫生健康委。</w:t>
      </w:r>
    </w:p>
    <w:p>
      <w:pPr>
        <w:spacing w:line="620" w:lineRule="exact"/>
        <w:ind w:firstLine="640" w:firstLineChars="200"/>
        <w:rPr>
          <w:rFonts w:ascii="楷体" w:hAnsi="楷体" w:eastAsia="楷体" w:cs="楷体"/>
          <w:bCs/>
          <w:sz w:val="32"/>
          <w:szCs w:val="32"/>
        </w:rPr>
      </w:pPr>
      <w:r>
        <w:rPr>
          <w:rFonts w:hint="eastAsia" w:ascii="楷体" w:hAnsi="楷体" w:eastAsia="楷体" w:cs="楷体"/>
          <w:bCs/>
          <w:sz w:val="32"/>
          <w:szCs w:val="32"/>
        </w:rPr>
        <w:t>（四）资金拨付</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每年11月底前完成本年度建设项目资金的拨付。企业应建立项目投资专账。在企业完成项目建设和托育机构登记备案后，区卫生健康局应会同相关部门核实投入资金和相应新增托位情况，由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财政局申请资金拨付。</w:t>
      </w:r>
      <w:r>
        <w:rPr>
          <w:rFonts w:hint="eastAsia" w:ascii="仿宋_GB2312" w:hAnsi="仿宋_GB2312" w:eastAsia="仿宋_GB2312" w:cs="仿宋_GB2312"/>
          <w:color w:val="auto"/>
          <w:sz w:val="32"/>
          <w:szCs w:val="32"/>
        </w:rPr>
        <w:t>区财政自市级</w:t>
      </w:r>
      <w:r>
        <w:rPr>
          <w:rFonts w:hint="eastAsia" w:ascii="仿宋_GB2312" w:hAnsi="仿宋_GB2312" w:eastAsia="仿宋_GB2312" w:cs="仿宋_GB2312"/>
          <w:sz w:val="32"/>
          <w:szCs w:val="32"/>
        </w:rPr>
        <w:t>资金下拨后15个工作日内，配套本级资金，及时将项目资金拨付企业单位。</w:t>
      </w:r>
    </w:p>
    <w:p>
      <w:pPr>
        <w:spacing w:line="620" w:lineRule="exact"/>
        <w:ind w:firstLine="640" w:firstLineChars="200"/>
        <w:rPr>
          <w:rFonts w:ascii="楷体" w:hAnsi="楷体" w:eastAsia="楷体" w:cs="楷体"/>
          <w:bCs/>
          <w:sz w:val="32"/>
          <w:szCs w:val="32"/>
        </w:rPr>
      </w:pPr>
      <w:r>
        <w:rPr>
          <w:rFonts w:hint="eastAsia" w:ascii="楷体" w:hAnsi="楷体" w:eastAsia="楷体" w:cs="楷体"/>
          <w:bCs/>
          <w:sz w:val="32"/>
          <w:szCs w:val="32"/>
        </w:rPr>
        <w:t>（五）项目普惠运营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加强项目后期监管，保证项目长期可持续运营和普惠性质，原则上项目建成后至少应提供10年以上普惠托育服务。区卫生健康局每年需对建成运营的项目进行一次评估，确</w:t>
      </w:r>
      <w:r>
        <w:rPr>
          <w:rFonts w:hint="eastAsia" w:ascii="仿宋_GB2312" w:hAnsi="仿宋_GB2312" w:eastAsia="仿宋_GB2312" w:cs="仿宋_GB2312"/>
          <w:spacing w:val="-4"/>
          <w:sz w:val="32"/>
          <w:szCs w:val="32"/>
        </w:rPr>
        <w:t>保合作协议执行到位。因故确需退出的，应由其他托育服务机构承接。对未按合作协议要求履行的企业列于失信联合惩戒名单。</w:t>
      </w:r>
    </w:p>
    <w:p>
      <w:pPr>
        <w:spacing w:line="620" w:lineRule="exact"/>
        <w:ind w:firstLine="640" w:firstLineChars="200"/>
        <w:rPr>
          <w:rFonts w:ascii="仿宋_GB2312" w:hAnsi="仿宋_GB2312" w:eastAsia="仿宋_GB2312" w:cs="仿宋_GB2312"/>
          <w:b/>
          <w:bCs/>
          <w:sz w:val="32"/>
          <w:szCs w:val="32"/>
        </w:rPr>
      </w:pPr>
      <w:r>
        <w:rPr>
          <w:rFonts w:hint="eastAsia" w:ascii="楷体" w:hAnsi="楷体" w:eastAsia="楷体" w:cs="楷体"/>
          <w:bCs/>
          <w:sz w:val="32"/>
          <w:szCs w:val="32"/>
        </w:rPr>
        <w:t>（六）实行目标管理</w:t>
      </w:r>
    </w:p>
    <w:p>
      <w:pPr>
        <w:spacing w:line="620" w:lineRule="exac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坚持普惠优先原则，将普惠托育服务机构建设作为重要的民生实事工程，纳入目标管理考核，统筹社会资源，加大支持力度，强化部门分工协作，</w:t>
      </w:r>
      <w:r>
        <w:rPr>
          <w:rFonts w:hint="eastAsia" w:ascii="仿宋_GB2312" w:hAnsi="仿宋_GB2312" w:eastAsia="仿宋_GB2312" w:cs="仿宋_GB2312"/>
          <w:color w:val="auto"/>
          <w:spacing w:val="4"/>
          <w:sz w:val="32"/>
          <w:szCs w:val="32"/>
        </w:rPr>
        <w:t>落实街道责任，制定项目建设具体实施方案</w:t>
      </w:r>
      <w:r>
        <w:rPr>
          <w:rFonts w:hint="eastAsia" w:ascii="仿宋_GB2312" w:hAnsi="仿宋_GB2312" w:eastAsia="仿宋_GB2312" w:cs="仿宋_GB2312"/>
          <w:spacing w:val="4"/>
          <w:sz w:val="32"/>
          <w:szCs w:val="32"/>
        </w:rPr>
        <w:t>，各</w:t>
      </w:r>
      <w:r>
        <w:rPr>
          <w:rFonts w:hint="eastAsia" w:ascii="仿宋_GB2312" w:hAnsi="仿宋_GB2312" w:eastAsia="仿宋_GB2312" w:cs="仿宋_GB2312"/>
          <w:spacing w:val="4"/>
          <w:sz w:val="32"/>
          <w:szCs w:val="32"/>
          <w:lang w:val="en-US" w:eastAsia="zh-CN"/>
        </w:rPr>
        <w:t>街道</w:t>
      </w:r>
      <w:r>
        <w:rPr>
          <w:rFonts w:hint="eastAsia" w:ascii="仿宋_GB2312" w:hAnsi="仿宋_GB2312" w:eastAsia="仿宋_GB2312" w:cs="仿宋_GB2312"/>
          <w:spacing w:val="4"/>
          <w:sz w:val="32"/>
          <w:szCs w:val="32"/>
        </w:rPr>
        <w:t>按照《</w:t>
      </w:r>
      <w:r>
        <w:rPr>
          <w:rFonts w:hint="eastAsia" w:ascii="仿宋_GB2312" w:hAnsi="仿宋_GB2312" w:eastAsia="仿宋_GB2312" w:cs="仿宋_GB2312"/>
          <w:spacing w:val="4"/>
          <w:sz w:val="32"/>
          <w:szCs w:val="32"/>
          <w:lang w:eastAsia="zh-CN"/>
        </w:rPr>
        <w:t>开福区</w:t>
      </w:r>
      <w:r>
        <w:rPr>
          <w:rFonts w:hint="eastAsia" w:ascii="仿宋_GB2312" w:hAnsi="仿宋_GB2312" w:eastAsia="仿宋_GB2312" w:cs="仿宋_GB2312"/>
          <w:spacing w:val="4"/>
          <w:sz w:val="32"/>
          <w:szCs w:val="32"/>
        </w:rPr>
        <w:t>“十四五”时期千人口托位数年度任务目标》（见附件2），确保目标任务圆满完成。</w:t>
      </w:r>
    </w:p>
    <w:p>
      <w:pPr>
        <w:pStyle w:val="5"/>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四、组织保障</w:t>
      </w:r>
    </w:p>
    <w:p>
      <w:pPr>
        <w:pStyle w:val="5"/>
        <w:spacing w:line="620" w:lineRule="exact"/>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（一）加强组织领导。</w:t>
      </w:r>
      <w:r>
        <w:rPr>
          <w:rFonts w:hint="eastAsia" w:ascii="仿宋_GB2312" w:hAnsi="仿宋_GB2312" w:eastAsia="仿宋_GB2312" w:cs="仿宋_GB2312"/>
          <w:sz w:val="32"/>
          <w:szCs w:val="32"/>
        </w:rPr>
        <w:t>建立健全组织领导体系和工作协调机制，压实工作责任，强化工作措施；</w:t>
      </w:r>
      <w:r>
        <w:rPr>
          <w:rFonts w:hint="eastAsia" w:ascii="仿宋_GB2312" w:hAnsi="仿宋_GB2312" w:eastAsia="仿宋_GB2312" w:cs="仿宋_GB2312"/>
          <w:sz w:val="32"/>
          <w:szCs w:val="32"/>
          <w:lang w:eastAsia="zh-CN"/>
        </w:rPr>
        <w:t>各相关部门、</w:t>
      </w:r>
      <w:r>
        <w:rPr>
          <w:rFonts w:hint="eastAsia" w:ascii="仿宋_GB2312" w:hAnsi="仿宋_GB2312" w:eastAsia="仿宋_GB2312" w:cs="仿宋_GB2312"/>
          <w:sz w:val="32"/>
          <w:szCs w:val="32"/>
        </w:rPr>
        <w:t>各街道要按照职责分工，密切配合，形成工作合力，推进托育服务稳步健康发展。</w:t>
      </w:r>
    </w:p>
    <w:p>
      <w:pPr>
        <w:pStyle w:val="5"/>
        <w:spacing w:line="620" w:lineRule="exact"/>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（二）统筹规划建设。</w:t>
      </w:r>
      <w:r>
        <w:rPr>
          <w:rFonts w:hint="eastAsia" w:ascii="仿宋_GB2312" w:hAnsi="仿宋_GB2312" w:eastAsia="仿宋_GB2312" w:cs="仿宋_GB2312"/>
          <w:sz w:val="32"/>
          <w:szCs w:val="32"/>
        </w:rPr>
        <w:t>要加强托育服务设施用地保障和存量资源利用，在建设用地供应计划中保障托育服务设施用地需求，结合托育服务设施数量、结构需求，依据国土空间总体规划等，构建与本辖区人口结构、婴幼儿数量相适应的托育服务设施规模和布局，并将所需用地落实到控制性详细规划，促进服务能力提质扩容和区域均衡布局。</w:t>
      </w:r>
    </w:p>
    <w:p>
      <w:pPr>
        <w:pStyle w:val="5"/>
        <w:spacing w:line="620" w:lineRule="exact"/>
        <w:ind w:firstLine="640" w:firstLineChars="200"/>
        <w:rPr>
          <w:rFonts w:ascii="仿宋_GB2312" w:hAnsi="仿宋_GB2312" w:eastAsia="仿宋_GB2312" w:cs="仿宋_GB2312"/>
          <w:spacing w:val="-17"/>
          <w:sz w:val="32"/>
          <w:szCs w:val="32"/>
        </w:rPr>
      </w:pPr>
      <w:r>
        <w:rPr>
          <w:rFonts w:hint="eastAsia" w:ascii="楷体" w:hAnsi="楷体" w:eastAsia="楷体" w:cs="楷体"/>
          <w:bCs/>
          <w:sz w:val="32"/>
          <w:szCs w:val="32"/>
        </w:rPr>
        <w:t>（三）加强资金支持。</w:t>
      </w:r>
      <w:r>
        <w:rPr>
          <w:rFonts w:hint="eastAsia" w:ascii="仿宋_GB2312" w:hAnsi="仿宋_GB2312" w:eastAsia="仿宋_GB2312" w:cs="仿宋_GB2312"/>
          <w:spacing w:val="-17"/>
          <w:sz w:val="32"/>
          <w:szCs w:val="32"/>
          <w:lang w:eastAsia="zh-CN"/>
        </w:rPr>
        <w:t>相关部门、街道</w:t>
      </w:r>
      <w:r>
        <w:rPr>
          <w:rFonts w:hint="eastAsia" w:ascii="仿宋_GB2312" w:hAnsi="仿宋_GB2312" w:eastAsia="仿宋_GB2312" w:cs="仿宋_GB2312"/>
          <w:spacing w:val="-17"/>
          <w:sz w:val="32"/>
          <w:szCs w:val="32"/>
        </w:rPr>
        <w:t>要实施好我</w:t>
      </w:r>
      <w:r>
        <w:rPr>
          <w:rFonts w:hint="eastAsia" w:ascii="仿宋_GB2312" w:hAnsi="仿宋_GB2312" w:eastAsia="仿宋_GB2312" w:cs="仿宋_GB2312"/>
          <w:spacing w:val="-17"/>
          <w:sz w:val="32"/>
          <w:szCs w:val="32"/>
          <w:lang w:val="en-US" w:eastAsia="zh-CN"/>
        </w:rPr>
        <w:t>区</w:t>
      </w:r>
      <w:r>
        <w:rPr>
          <w:rFonts w:hint="eastAsia" w:ascii="仿宋_GB2312" w:hAnsi="仿宋_GB2312" w:eastAsia="仿宋_GB2312" w:cs="仿宋_GB2312"/>
          <w:spacing w:val="-17"/>
          <w:sz w:val="32"/>
          <w:szCs w:val="32"/>
        </w:rPr>
        <w:t>普惠托育服务机构建设项目和国家普惠托育服务专项行动，切实承担起普惠托育服务能力提升的投入主体责任，促进本辖区托育服务健康发展，积极引导社会力量举办托育服务机构，提供普惠托育服务。</w:t>
      </w:r>
    </w:p>
    <w:p>
      <w:pPr>
        <w:pStyle w:val="5"/>
        <w:spacing w:line="620" w:lineRule="exact"/>
        <w:ind w:firstLine="640" w:firstLineChars="200"/>
        <w:rPr>
          <w:rFonts w:ascii="仿宋_GB2312" w:hAnsi="仿宋_GB2312" w:eastAsia="仿宋_GB2312" w:cs="仿宋_GB2312"/>
          <w:sz w:val="32"/>
          <w:szCs w:val="32"/>
        </w:rPr>
      </w:pPr>
      <w:r>
        <w:rPr>
          <w:rFonts w:hint="eastAsia" w:ascii="楷体" w:hAnsi="楷体" w:eastAsia="楷体" w:cs="楷体"/>
          <w:bCs/>
          <w:sz w:val="32"/>
          <w:szCs w:val="32"/>
        </w:rPr>
        <w:t>（四）加强督促指导。</w:t>
      </w:r>
      <w:r>
        <w:rPr>
          <w:rFonts w:hint="eastAsia" w:ascii="仿宋_GB2312" w:hAnsi="仿宋_GB2312" w:eastAsia="仿宋_GB2312" w:cs="仿宋_GB2312"/>
          <w:sz w:val="32"/>
          <w:szCs w:val="32"/>
        </w:rPr>
        <w:t>要加强对托育服务工作的督导检查，强化项目绩效管理，及时总结成绩和经验，研究分析存在的问题，推进重点任务落到实处。</w:t>
      </w:r>
    </w:p>
    <w:p>
      <w:pPr>
        <w:pStyle w:val="5"/>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本方案自2023年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日起施行，有效期3年。</w:t>
      </w:r>
    </w:p>
    <w:p>
      <w:pPr>
        <w:spacing w:line="620" w:lineRule="exact"/>
        <w:ind w:firstLine="640" w:firstLineChars="200"/>
        <w:rPr>
          <w:rFonts w:ascii="仿宋_GB2312" w:hAnsi="仿宋_GB2312" w:eastAsia="仿宋_GB2312" w:cs="仿宋_GB2312"/>
          <w:bCs/>
          <w:sz w:val="32"/>
          <w:szCs w:val="32"/>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长沙市</w:t>
      </w:r>
      <w:r>
        <w:rPr>
          <w:rFonts w:hint="eastAsia" w:ascii="仿宋_GB2312" w:hAnsi="仿宋_GB2312" w:eastAsia="仿宋_GB2312" w:cs="仿宋_GB2312"/>
          <w:sz w:val="32"/>
          <w:szCs w:val="32"/>
        </w:rPr>
        <w:t>普惠托育服务机构建设项目申报表</w:t>
      </w:r>
    </w:p>
    <w:p>
      <w:pPr>
        <w:pStyle w:val="5"/>
        <w:spacing w:line="620" w:lineRule="exact"/>
        <w:ind w:firstLine="1600" w:firstLineChars="500"/>
        <w:rPr>
          <w:rFonts w:ascii="仿宋_GB2312" w:hAnsi="仿宋_GB2312" w:eastAsia="仿宋_GB2312" w:cs="仿宋_GB2312"/>
          <w:spacing w:val="-6"/>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lang w:val="en-US" w:eastAsia="zh-CN"/>
        </w:rPr>
        <w:t>开福区</w:t>
      </w:r>
      <w:r>
        <w:rPr>
          <w:rFonts w:hint="eastAsia" w:ascii="仿宋_GB2312" w:hAnsi="仿宋_GB2312" w:eastAsia="仿宋_GB2312" w:cs="仿宋_GB2312"/>
          <w:spacing w:val="-6"/>
          <w:sz w:val="32"/>
          <w:szCs w:val="32"/>
        </w:rPr>
        <w:t>“十四五”时期千人口托位数年度任务目标</w:t>
      </w:r>
    </w:p>
    <w:p>
      <w:pPr>
        <w:ind w:firstLine="616" w:firstLineChars="200"/>
        <w:rPr>
          <w:rFonts w:ascii="仿宋_GB2312" w:hAnsi="仿宋_GB2312" w:eastAsia="仿宋_GB2312" w:cs="仿宋_GB2312"/>
          <w:spacing w:val="-6"/>
          <w:sz w:val="32"/>
          <w:szCs w:val="32"/>
        </w:rPr>
      </w:pPr>
    </w:p>
    <w:p>
      <w:pPr>
        <w:rPr>
          <w:rFonts w:ascii="仿宋_GB2312" w:eastAsia="方正仿宋_GBK"/>
          <w:sz w:val="32"/>
          <w:szCs w:val="32"/>
        </w:rPr>
      </w:pPr>
      <w:r>
        <w:rPr>
          <w:rFonts w:hint="eastAsia" w:ascii="仿宋_GB2312" w:hAnsi="仿宋_GB2312" w:eastAsia="仿宋_GB2312" w:cs="仿宋_GB2312"/>
          <w:sz w:val="32"/>
          <w:szCs w:val="32"/>
        </w:rPr>
        <w:br w:type="page"/>
      </w:r>
    </w:p>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黑体_GBK" w:hAnsi="Times New Roman" w:eastAsia="方正黑体_GBK" w:cs="Times New Roman"/>
          <w:sz w:val="36"/>
          <w:szCs w:val="36"/>
        </w:rPr>
      </w:pPr>
      <w:r>
        <w:rPr>
          <w:rFonts w:hint="eastAsia" w:ascii="黑体" w:hAnsi="黑体" w:eastAsia="黑体" w:cs="黑体"/>
          <w:sz w:val="36"/>
          <w:szCs w:val="36"/>
          <w:lang w:val="en-US" w:eastAsia="zh-CN"/>
        </w:rPr>
        <w:t>长沙市</w:t>
      </w:r>
      <w:r>
        <w:rPr>
          <w:rFonts w:hint="eastAsia" w:ascii="黑体" w:hAnsi="黑体" w:eastAsia="黑体" w:cs="黑体"/>
          <w:sz w:val="36"/>
          <w:szCs w:val="36"/>
        </w:rPr>
        <w:t>普惠托育服务机构建设项目申报表</w:t>
      </w:r>
    </w:p>
    <w:p>
      <w:pPr>
        <w:spacing w:before="156" w:beforeLines="50" w:after="62" w:afterLines="20" w:line="3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申报单位（公章）</w:t>
      </w:r>
    </w:p>
    <w:tbl>
      <w:tblPr>
        <w:tblStyle w:val="10"/>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2250"/>
        <w:gridCol w:w="2248"/>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3752" w:type="pct"/>
            <w:gridSpan w:val="3"/>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项目所在地址</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项目法人单位</w:t>
            </w:r>
          </w:p>
        </w:tc>
        <w:tc>
          <w:tcPr>
            <w:tcW w:w="1253" w:type="pct"/>
            <w:tcMar>
              <w:top w:w="85" w:type="dxa"/>
              <w:bottom w:w="85" w:type="dxa"/>
            </w:tcMa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253" w:type="pct"/>
            <w:tcMar>
              <w:top w:w="85" w:type="dxa"/>
              <w:bottom w:w="85" w:type="dxa"/>
            </w:tcMa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总投资预算</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拟新建托位数</w:t>
            </w:r>
          </w:p>
        </w:tc>
        <w:tc>
          <w:tcPr>
            <w:tcW w:w="1253" w:type="pct"/>
            <w:tcMar>
              <w:top w:w="85" w:type="dxa"/>
              <w:bottom w:w="85" w:type="dxa"/>
            </w:tcMa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（预计）开工</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拟建成年月</w:t>
            </w:r>
          </w:p>
        </w:tc>
        <w:tc>
          <w:tcPr>
            <w:tcW w:w="1253" w:type="pct"/>
            <w:tcMar>
              <w:top w:w="85" w:type="dxa"/>
              <w:bottom w:w="85" w:type="dxa"/>
            </w:tcMa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项目建筑面积</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单个托位</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建筑面积</w:t>
            </w:r>
          </w:p>
        </w:tc>
        <w:tc>
          <w:tcPr>
            <w:tcW w:w="1253" w:type="pct"/>
            <w:tcMar>
              <w:top w:w="85" w:type="dxa"/>
              <w:bottom w:w="85" w:type="dxa"/>
            </w:tcMa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项目基本</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情况简介</w:t>
            </w:r>
          </w:p>
        </w:tc>
        <w:tc>
          <w:tcPr>
            <w:tcW w:w="3752" w:type="pct"/>
            <w:gridSpan w:val="3"/>
            <w:tcMar>
              <w:top w:w="85" w:type="dxa"/>
              <w:bottom w:w="85" w:type="dxa"/>
            </w:tcMa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（可另附说明）</w:t>
            </w:r>
          </w:p>
          <w:p>
            <w:pPr>
              <w:pStyle w:val="5"/>
              <w:jc w:val="both"/>
              <w:rPr>
                <w:rFonts w:ascii="仿宋_GB2312" w:hAnsi="仿宋_GB2312" w:eastAsia="仿宋_GB2312" w:cs="仿宋_GB2312"/>
              </w:rPr>
            </w:pPr>
          </w:p>
          <w:p>
            <w:pPr>
              <w:pStyle w:val="5"/>
              <w:jc w:val="both"/>
              <w:rPr>
                <w:rFonts w:ascii="仿宋_GB2312" w:hAnsi="仿宋_GB2312" w:eastAsia="仿宋_GB2312" w:cs="仿宋_GB2312"/>
              </w:rPr>
            </w:pPr>
          </w:p>
          <w:p>
            <w:pPr>
              <w:pStyle w:val="5"/>
              <w:jc w:val="both"/>
              <w:rPr>
                <w:rFonts w:ascii="仿宋_GB2312" w:hAnsi="仿宋_GB2312" w:eastAsia="仿宋_GB2312" w:cs="仿宋_GB2312"/>
              </w:rPr>
            </w:pPr>
          </w:p>
          <w:p>
            <w:pPr>
              <w:pStyle w:val="5"/>
              <w:jc w:val="both"/>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乡镇（街道）</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推荐意见</w:t>
            </w:r>
          </w:p>
        </w:tc>
        <w:tc>
          <w:tcPr>
            <w:tcW w:w="3752" w:type="pct"/>
            <w:gridSpan w:val="3"/>
            <w:tcMar>
              <w:top w:w="85" w:type="dxa"/>
              <w:bottom w:w="85" w:type="dxa"/>
            </w:tcMar>
            <w:vAlign w:val="center"/>
          </w:tcPr>
          <w:p>
            <w:pPr>
              <w:snapToGrid w:val="0"/>
              <w:spacing w:before="156" w:beforeLines="50"/>
              <w:jc w:val="left"/>
              <w:rPr>
                <w:rFonts w:ascii="仿宋_GB2312" w:hAnsi="仿宋_GB2312" w:eastAsia="仿宋_GB2312" w:cs="仿宋_GB2312"/>
                <w:sz w:val="28"/>
                <w:szCs w:val="28"/>
              </w:rPr>
            </w:pPr>
          </w:p>
          <w:p>
            <w:pPr>
              <w:snapToGrid w:val="0"/>
              <w:spacing w:line="500" w:lineRule="exact"/>
              <w:ind w:firstLine="2940" w:firstLineChars="1050"/>
              <w:jc w:val="left"/>
              <w:rPr>
                <w:rFonts w:ascii="仿宋_GB2312" w:hAnsi="仿宋_GB2312" w:eastAsia="仿宋_GB2312" w:cs="仿宋_GB2312"/>
              </w:rPr>
            </w:pPr>
            <w:r>
              <w:rPr>
                <w:rFonts w:hint="eastAsia" w:ascii="仿宋_GB2312" w:hAnsi="仿宋_GB2312" w:eastAsia="仿宋_GB2312" w:cs="仿宋_GB2312"/>
                <w:sz w:val="28"/>
                <w:szCs w:val="28"/>
              </w:rPr>
              <w:t xml:space="preserve">（单位公章）       </w:t>
            </w:r>
          </w:p>
          <w:p>
            <w:pPr>
              <w:snapToGrid w:val="0"/>
              <w:spacing w:line="500" w:lineRule="exact"/>
              <w:ind w:firstLine="2240" w:firstLineChars="8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主要负责人签字：             </w:t>
            </w:r>
          </w:p>
          <w:p>
            <w:pPr>
              <w:snapToGrid w:val="0"/>
              <w:spacing w:line="500" w:lineRule="exact"/>
              <w:ind w:firstLine="3360" w:firstLineChars="1200"/>
              <w:jc w:val="left"/>
              <w:rPr>
                <w:rFonts w:ascii="仿宋_GB2312" w:hAnsi="仿宋_GB2312" w:eastAsia="仿宋_GB2312" w:cs="仿宋_GB2312"/>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区县（市）卫</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生健康局验收</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3752" w:type="pct"/>
            <w:gridSpan w:val="3"/>
            <w:tcMar>
              <w:top w:w="85" w:type="dxa"/>
              <w:bottom w:w="85" w:type="dxa"/>
            </w:tcMar>
            <w:vAlign w:val="center"/>
          </w:tcPr>
          <w:p>
            <w:pPr>
              <w:snapToGrid w:val="0"/>
              <w:spacing w:before="156" w:beforeLines="50"/>
              <w:jc w:val="left"/>
              <w:rPr>
                <w:rFonts w:ascii="仿宋_GB2312" w:hAnsi="仿宋_GB2312" w:eastAsia="仿宋_GB2312" w:cs="仿宋_GB2312"/>
                <w:sz w:val="28"/>
                <w:szCs w:val="28"/>
              </w:rPr>
            </w:pPr>
          </w:p>
          <w:p>
            <w:pPr>
              <w:snapToGrid w:val="0"/>
              <w:spacing w:line="500" w:lineRule="exact"/>
              <w:ind w:firstLine="2100" w:firstLineChars="750"/>
              <w:jc w:val="left"/>
              <w:rPr>
                <w:rFonts w:ascii="仿宋_GB2312" w:hAnsi="仿宋_GB2312" w:eastAsia="仿宋_GB2312" w:cs="仿宋_GB2312"/>
              </w:rPr>
            </w:pPr>
            <w:r>
              <w:rPr>
                <w:rFonts w:hint="eastAsia" w:ascii="仿宋_GB2312" w:hAnsi="仿宋_GB2312" w:eastAsia="仿宋_GB2312" w:cs="仿宋_GB2312"/>
                <w:sz w:val="28"/>
                <w:szCs w:val="28"/>
              </w:rPr>
              <w:t xml:space="preserve">      （单位公章）       </w:t>
            </w:r>
          </w:p>
          <w:p>
            <w:pPr>
              <w:snapToGrid w:val="0"/>
              <w:spacing w:line="500" w:lineRule="exact"/>
              <w:ind w:firstLine="2240" w:firstLineChars="8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主要负责人签字：             </w:t>
            </w:r>
          </w:p>
          <w:p>
            <w:pPr>
              <w:snapToGrid w:val="0"/>
              <w:spacing w:line="500" w:lineRule="exact"/>
              <w:ind w:firstLine="3360" w:firstLineChars="1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项目建成</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备案时间</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每月保育费</w:t>
            </w:r>
          </w:p>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（不含餐费）</w:t>
            </w:r>
          </w:p>
        </w:tc>
        <w:tc>
          <w:tcPr>
            <w:tcW w:w="1253"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48"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建成托位数</w:t>
            </w:r>
          </w:p>
        </w:tc>
        <w:tc>
          <w:tcPr>
            <w:tcW w:w="1250"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c>
          <w:tcPr>
            <w:tcW w:w="1249"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实际入托人数</w:t>
            </w:r>
          </w:p>
        </w:tc>
        <w:tc>
          <w:tcPr>
            <w:tcW w:w="1253" w:type="pct"/>
            <w:tcMar>
              <w:top w:w="85" w:type="dxa"/>
              <w:bottom w:w="85" w:type="dxa"/>
            </w:tcMar>
            <w:vAlign w:val="center"/>
          </w:tcPr>
          <w:p>
            <w:pPr>
              <w:snapToGrid w:val="0"/>
              <w:spacing w:line="300" w:lineRule="exact"/>
              <w:jc w:val="center"/>
              <w:rPr>
                <w:rFonts w:ascii="仿宋_GB2312" w:hAnsi="仿宋_GB2312" w:eastAsia="仿宋_GB2312" w:cs="仿宋_GB2312"/>
                <w:sz w:val="28"/>
                <w:szCs w:val="28"/>
              </w:rPr>
            </w:pPr>
          </w:p>
        </w:tc>
      </w:tr>
    </w:tbl>
    <w:p>
      <w:pPr>
        <w:spacing w:line="20" w:lineRule="exact"/>
        <w:rPr>
          <w:rFonts w:ascii="黑体" w:hAnsi="黑体" w:eastAsia="方正黑体_GBK" w:cs="黑体"/>
          <w:sz w:val="32"/>
          <w:szCs w:val="32"/>
        </w:rPr>
        <w:sectPr>
          <w:footerReference r:id="rId5" w:type="default"/>
          <w:footerReference r:id="rId6" w:type="even"/>
          <w:pgSz w:w="11906" w:h="16838"/>
          <w:pgMar w:top="1701" w:right="1559" w:bottom="1418" w:left="1559" w:header="851" w:footer="1077" w:gutter="0"/>
          <w:pgNumType w:start="1"/>
          <w:cols w:space="425" w:num="1"/>
          <w:docGrid w:type="lines" w:linePitch="312" w:charSpace="0"/>
        </w:sectPr>
      </w:pPr>
    </w:p>
    <w:p>
      <w:pPr>
        <w:rPr>
          <w:rFonts w:ascii="Times New Roman" w:hAnsi="Times New Roman" w:eastAsia="方正黑体_GBK" w:cs="Times New Roman"/>
          <w:sz w:val="32"/>
          <w:szCs w:val="32"/>
        </w:rPr>
      </w:pPr>
      <w:r>
        <w:rPr>
          <w:rFonts w:hint="eastAsia" w:ascii="黑体" w:hAnsi="黑体" w:eastAsia="黑体" w:cs="黑体"/>
          <w:sz w:val="32"/>
          <w:szCs w:val="32"/>
        </w:rPr>
        <w:t>附件2</w:t>
      </w:r>
    </w:p>
    <w:p>
      <w:pPr>
        <w:jc w:val="center"/>
        <w:rPr>
          <w:rFonts w:ascii="方正黑体_GBK" w:hAnsi="Times New Roman" w:eastAsia="方正黑体_GBK" w:cs="Times New Roman"/>
          <w:sz w:val="36"/>
          <w:szCs w:val="36"/>
        </w:rPr>
      </w:pPr>
      <w:r>
        <w:rPr>
          <w:rFonts w:hint="eastAsia" w:ascii="黑体" w:hAnsi="黑体" w:eastAsia="黑体" w:cs="黑体"/>
          <w:sz w:val="36"/>
          <w:szCs w:val="36"/>
          <w:lang w:val="en-US" w:eastAsia="zh-CN"/>
        </w:rPr>
        <w:t>开福区</w:t>
      </w:r>
      <w:r>
        <w:rPr>
          <w:rFonts w:hint="eastAsia" w:ascii="黑体" w:hAnsi="黑体" w:eastAsia="黑体" w:cs="黑体"/>
          <w:sz w:val="36"/>
          <w:szCs w:val="36"/>
        </w:rPr>
        <w:t>“十四五”时期千人口托位数年度任务目标</w:t>
      </w:r>
    </w:p>
    <w:tbl>
      <w:tblPr>
        <w:tblStyle w:val="9"/>
        <w:tblW w:w="5066" w:type="pct"/>
        <w:tblInd w:w="0" w:type="dxa"/>
        <w:tblLayout w:type="fixed"/>
        <w:tblCellMar>
          <w:top w:w="0" w:type="dxa"/>
          <w:left w:w="0" w:type="dxa"/>
          <w:bottom w:w="0" w:type="dxa"/>
          <w:right w:w="0" w:type="dxa"/>
        </w:tblCellMar>
      </w:tblPr>
      <w:tblGrid>
        <w:gridCol w:w="1301"/>
        <w:gridCol w:w="705"/>
        <w:gridCol w:w="705"/>
        <w:gridCol w:w="934"/>
        <w:gridCol w:w="851"/>
        <w:gridCol w:w="938"/>
        <w:gridCol w:w="934"/>
        <w:gridCol w:w="939"/>
        <w:gridCol w:w="934"/>
        <w:gridCol w:w="939"/>
        <w:gridCol w:w="934"/>
        <w:gridCol w:w="939"/>
        <w:gridCol w:w="851"/>
        <w:gridCol w:w="938"/>
      </w:tblGrid>
      <w:tr>
        <w:tblPrEx>
          <w:tblCellMar>
            <w:top w:w="0" w:type="dxa"/>
            <w:left w:w="0" w:type="dxa"/>
            <w:bottom w:w="0" w:type="dxa"/>
            <w:right w:w="0" w:type="dxa"/>
          </w:tblCellMar>
        </w:tblPrEx>
        <w:trPr>
          <w:trHeight w:val="660" w:hRule="atLeast"/>
          <w:tblHeader/>
        </w:trPr>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单位</w:t>
            </w:r>
          </w:p>
        </w:tc>
        <w:tc>
          <w:tcPr>
            <w:tcW w:w="27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2020年常住人口数（万）</w:t>
            </w:r>
          </w:p>
        </w:tc>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2020年</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托位基数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2025年</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常住人口</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（万）</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2021年</w:t>
            </w:r>
          </w:p>
        </w:tc>
        <w:tc>
          <w:tcPr>
            <w:tcW w:w="7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2022年</w:t>
            </w:r>
          </w:p>
        </w:tc>
        <w:tc>
          <w:tcPr>
            <w:tcW w:w="7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2023年</w:t>
            </w:r>
          </w:p>
        </w:tc>
        <w:tc>
          <w:tcPr>
            <w:tcW w:w="72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2024年</w:t>
            </w:r>
          </w:p>
        </w:tc>
        <w:tc>
          <w:tcPr>
            <w:tcW w:w="69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2025年</w:t>
            </w:r>
          </w:p>
        </w:tc>
      </w:tr>
      <w:tr>
        <w:tblPrEx>
          <w:tblCellMar>
            <w:top w:w="0" w:type="dxa"/>
            <w:left w:w="0" w:type="dxa"/>
            <w:bottom w:w="0" w:type="dxa"/>
            <w:right w:w="0" w:type="dxa"/>
          </w:tblCellMar>
        </w:tblPrEx>
        <w:trPr>
          <w:trHeight w:val="1392" w:hRule="atLeast"/>
          <w:tblHeader/>
        </w:trPr>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仿宋_GB2312" w:hAnsi="仿宋_GB2312" w:eastAsia="仿宋_GB2312" w:cs="仿宋_GB2312"/>
                <w:b/>
                <w:bCs/>
                <w:color w:val="000000"/>
                <w:sz w:val="21"/>
                <w:szCs w:val="21"/>
              </w:rPr>
            </w:pPr>
          </w:p>
        </w:tc>
        <w:tc>
          <w:tcPr>
            <w:tcW w:w="27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b/>
                <w:bCs/>
                <w:color w:val="000000"/>
                <w:sz w:val="21"/>
                <w:szCs w:val="21"/>
              </w:rPr>
            </w:pPr>
          </w:p>
        </w:tc>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b/>
                <w:bCs/>
                <w:color w:val="000000"/>
                <w:sz w:val="21"/>
                <w:szCs w:val="21"/>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仿宋_GB2312" w:hAnsi="仿宋_GB2312" w:eastAsia="仿宋_GB2312" w:cs="仿宋_GB2312"/>
                <w:b/>
                <w:bCs/>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年度新增托位数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目标托位</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累计数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年度新增托位数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目标托位</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累计数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年度新增托位数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目标托位</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累计数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年度新增托位数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目标托位</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累计数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年度新增托位数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目标托位</w:t>
            </w:r>
          </w:p>
          <w:p>
            <w:pPr>
              <w:widowControl/>
              <w:spacing w:line="320" w:lineRule="exact"/>
              <w:jc w:val="center"/>
              <w:textAlignment w:val="center"/>
              <w:rPr>
                <w:rFonts w:hint="eastAsia" w:ascii="仿宋_GB2312" w:hAnsi="仿宋_GB2312" w:eastAsia="仿宋_GB2312" w:cs="仿宋_GB2312"/>
                <w:b/>
                <w:bCs/>
                <w:color w:val="000000"/>
                <w:kern w:val="0"/>
                <w:sz w:val="21"/>
                <w:szCs w:val="21"/>
                <w:lang w:eastAsia="zh-CN" w:bidi="ar"/>
              </w:rPr>
            </w:pPr>
            <w:r>
              <w:rPr>
                <w:rFonts w:hint="eastAsia" w:ascii="仿宋_GB2312" w:hAnsi="仿宋_GB2312" w:eastAsia="仿宋_GB2312" w:cs="仿宋_GB2312"/>
                <w:b/>
                <w:bCs/>
                <w:color w:val="000000"/>
                <w:kern w:val="0"/>
                <w:sz w:val="21"/>
                <w:szCs w:val="21"/>
                <w:lang w:bidi="ar"/>
              </w:rPr>
              <w:t>累计数</w:t>
            </w:r>
          </w:p>
          <w:p>
            <w:pPr>
              <w:widowControl/>
              <w:spacing w:line="320" w:lineRule="exact"/>
              <w:jc w:val="center"/>
              <w:textAlignment w:val="center"/>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（个）</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开福区</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kern w:val="0"/>
                <w:sz w:val="21"/>
                <w:szCs w:val="21"/>
                <w:highlight w:val="none"/>
                <w:lang w:bidi="ar"/>
              </w:rPr>
            </w:pPr>
            <w:r>
              <w:rPr>
                <w:rFonts w:hint="eastAsia" w:ascii="宋体" w:hAnsi="宋体" w:eastAsia="宋体" w:cs="宋体"/>
                <w:b/>
                <w:bCs/>
                <w:i w:val="0"/>
                <w:iCs w:val="0"/>
                <w:color w:val="000000"/>
                <w:kern w:val="0"/>
                <w:sz w:val="21"/>
                <w:szCs w:val="21"/>
                <w:u w:val="none"/>
                <w:lang w:val="en-US" w:eastAsia="zh-CN" w:bidi="ar"/>
              </w:rPr>
              <w:t xml:space="preserve">82.0790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1574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100.00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370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1944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801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2745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801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3546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616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4162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370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b w:val="0"/>
                <w:bCs w:val="0"/>
                <w:color w:val="auto"/>
                <w:sz w:val="21"/>
                <w:szCs w:val="21"/>
              </w:rPr>
            </w:pPr>
            <w:r>
              <w:rPr>
                <w:rFonts w:hint="eastAsia" w:ascii="宋体" w:hAnsi="宋体" w:eastAsia="宋体" w:cs="宋体"/>
                <w:i w:val="0"/>
                <w:iCs w:val="0"/>
                <w:color w:val="000000"/>
                <w:kern w:val="0"/>
                <w:sz w:val="21"/>
                <w:szCs w:val="21"/>
                <w:u w:val="none"/>
                <w:lang w:val="en-US" w:eastAsia="zh-CN" w:bidi="ar"/>
              </w:rPr>
              <w:t xml:space="preserve">4532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eastAsia="zh-CN"/>
              </w:rPr>
            </w:pPr>
            <w:r>
              <w:rPr>
                <w:rFonts w:hint="eastAsia" w:ascii="新宋体" w:hAnsi="新宋体" w:eastAsia="新宋体" w:cs="新宋体"/>
                <w:i w:val="0"/>
                <w:iCs w:val="0"/>
                <w:color w:val="000000"/>
                <w:kern w:val="0"/>
                <w:sz w:val="21"/>
                <w:szCs w:val="21"/>
                <w:u w:val="none"/>
                <w:lang w:val="en-US" w:eastAsia="zh-CN" w:bidi="ar"/>
              </w:rPr>
              <w:t>望麓园街道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3.7134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4.52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51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74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51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125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38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163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43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206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eastAsia="zh-CN"/>
              </w:rPr>
            </w:pPr>
            <w:r>
              <w:rPr>
                <w:rFonts w:hint="eastAsia" w:ascii="新宋体" w:hAnsi="新宋体" w:eastAsia="新宋体" w:cs="新宋体"/>
                <w:i w:val="0"/>
                <w:iCs w:val="0"/>
                <w:color w:val="000000"/>
                <w:kern w:val="0"/>
                <w:sz w:val="21"/>
                <w:szCs w:val="21"/>
                <w:u w:val="none"/>
                <w:lang w:val="en-US" w:eastAsia="zh-CN" w:bidi="ar"/>
              </w:rPr>
              <w:t>清水塘街道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2.5974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40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3.16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46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66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51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117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135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143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eastAsia="zh-CN"/>
              </w:rPr>
            </w:pPr>
            <w:r>
              <w:rPr>
                <w:rFonts w:hint="eastAsia" w:ascii="新宋体" w:hAnsi="新宋体" w:eastAsia="新宋体" w:cs="新宋体"/>
                <w:i w:val="0"/>
                <w:iCs w:val="0"/>
                <w:color w:val="000000"/>
                <w:kern w:val="0"/>
                <w:sz w:val="21"/>
                <w:szCs w:val="21"/>
                <w:u w:val="none"/>
                <w:lang w:val="en-US" w:eastAsia="zh-CN" w:bidi="ar"/>
              </w:rPr>
              <w:t>东风路街道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 xml:space="preserve">4.9095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160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5.98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rPr>
            </w:pPr>
            <w:r>
              <w:rPr>
                <w:rFonts w:hint="eastAsia" w:ascii="宋体" w:hAnsi="宋体" w:eastAsia="宋体" w:cs="宋体"/>
                <w:i w:val="0"/>
                <w:iCs w:val="0"/>
                <w:color w:val="000000"/>
                <w:kern w:val="0"/>
                <w:sz w:val="21"/>
                <w:szCs w:val="21"/>
                <w:u w:val="none"/>
                <w:lang w:val="en-US" w:eastAsia="zh-CN" w:bidi="ar"/>
              </w:rPr>
              <w:t xml:space="preserve">26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186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30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216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236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30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266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6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272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新河街道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 xml:space="preserve">6.8219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212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8.31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34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246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266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60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326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38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364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12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376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湘雅路街道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4.0145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65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4.89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12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77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127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187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28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215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222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eastAsia="zh-CN"/>
              </w:rPr>
            </w:pPr>
            <w:r>
              <w:rPr>
                <w:rFonts w:hint="eastAsia" w:ascii="新宋体" w:hAnsi="新宋体" w:eastAsia="新宋体" w:cs="新宋体"/>
                <w:i w:val="0"/>
                <w:iCs w:val="0"/>
                <w:color w:val="000000"/>
                <w:kern w:val="0"/>
                <w:sz w:val="21"/>
                <w:szCs w:val="21"/>
                <w:u w:val="none"/>
                <w:lang w:val="en-US" w:eastAsia="zh-CN" w:bidi="ar"/>
              </w:rPr>
              <w:t>伍家岭街道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 xml:space="preserve">6.6586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50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8.11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58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71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129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80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209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70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279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88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367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通泰街街道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2.7926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3.40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23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73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40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113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38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151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154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eastAsia="zh-CN"/>
              </w:rPr>
            </w:pPr>
            <w:r>
              <w:rPr>
                <w:rFonts w:hint="eastAsia" w:ascii="新宋体" w:hAnsi="新宋体" w:eastAsia="新宋体" w:cs="新宋体"/>
                <w:i w:val="0"/>
                <w:iCs w:val="0"/>
                <w:color w:val="000000"/>
                <w:kern w:val="0"/>
                <w:sz w:val="21"/>
                <w:szCs w:val="21"/>
                <w:u w:val="none"/>
                <w:lang w:val="en-US" w:eastAsia="zh-CN" w:bidi="ar"/>
              </w:rPr>
              <w:t>芙蓉北路街道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 xml:space="preserve">8.8630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197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10.80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32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229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 xml:space="preserve">80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309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359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38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397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highlight w:val="none"/>
              </w:rPr>
            </w:pPr>
            <w:r>
              <w:rPr>
                <w:rFonts w:hint="eastAsia" w:ascii="宋体" w:hAnsi="宋体" w:eastAsia="宋体" w:cs="宋体"/>
                <w:i w:val="0"/>
                <w:iCs w:val="0"/>
                <w:color w:val="000000"/>
                <w:kern w:val="0"/>
                <w:sz w:val="21"/>
                <w:szCs w:val="21"/>
                <w:u w:val="none"/>
                <w:lang w:val="en-US" w:eastAsia="zh-CN" w:bidi="ar"/>
              </w:rPr>
              <w:t xml:space="preserve">92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 xml:space="preserve">489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四方坪街道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宋体" w:hAnsi="宋体" w:eastAsia="宋体" w:cs="宋体"/>
                <w:b/>
                <w:bCs/>
                <w:i w:val="0"/>
                <w:iCs w:val="0"/>
                <w:color w:val="000000"/>
                <w:kern w:val="0"/>
                <w:sz w:val="21"/>
                <w:szCs w:val="21"/>
                <w:u w:val="none"/>
                <w:lang w:val="en-US" w:eastAsia="zh-CN" w:bidi="ar"/>
              </w:rPr>
              <w:t xml:space="preserve">6.3241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125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新宋体" w:hAnsi="新宋体" w:eastAsia="新宋体" w:cs="新宋体"/>
                <w:i w:val="0"/>
                <w:iCs w:val="0"/>
                <w:color w:val="000000"/>
                <w:kern w:val="0"/>
                <w:sz w:val="21"/>
                <w:szCs w:val="21"/>
                <w:u w:val="none"/>
                <w:lang w:val="en-US" w:eastAsia="zh-CN" w:bidi="ar"/>
              </w:rPr>
              <w:t xml:space="preserve">7.70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145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69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214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264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43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307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42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 xml:space="preserve">349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洪山街道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6.5350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132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7.96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bidi="ar"/>
              </w:rPr>
            </w:pPr>
            <w:r>
              <w:rPr>
                <w:rFonts w:hint="eastAsia" w:ascii="宋体" w:hAnsi="宋体" w:eastAsia="宋体" w:cs="宋体"/>
                <w:i w:val="0"/>
                <w:iCs w:val="0"/>
                <w:color w:val="000000"/>
                <w:kern w:val="0"/>
                <w:sz w:val="21"/>
                <w:szCs w:val="21"/>
                <w:u w:val="none"/>
                <w:lang w:val="en-US" w:eastAsia="zh-CN" w:bidi="ar"/>
              </w:rPr>
              <w:t xml:space="preserve">21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highlight w:val="none"/>
                <w:lang w:bidi="ar"/>
              </w:rPr>
            </w:pPr>
            <w:r>
              <w:rPr>
                <w:rFonts w:hint="eastAsia" w:ascii="宋体" w:hAnsi="宋体" w:eastAsia="宋体" w:cs="宋体"/>
                <w:i w:val="0"/>
                <w:iCs w:val="0"/>
                <w:color w:val="000000"/>
                <w:kern w:val="0"/>
                <w:sz w:val="21"/>
                <w:szCs w:val="21"/>
                <w:u w:val="none"/>
                <w:lang w:val="en-US" w:eastAsia="zh-CN" w:bidi="ar"/>
              </w:rPr>
              <w:t xml:space="preserve">55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328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bidi="ar"/>
              </w:rPr>
            </w:pPr>
            <w:r>
              <w:rPr>
                <w:rFonts w:hint="eastAsia" w:ascii="宋体" w:hAnsi="宋体" w:eastAsia="宋体" w:cs="宋体"/>
                <w:i w:val="0"/>
                <w:iCs w:val="0"/>
                <w:color w:val="000000"/>
                <w:kern w:val="0"/>
                <w:sz w:val="21"/>
                <w:szCs w:val="21"/>
                <w:u w:val="none"/>
                <w:lang w:val="en-US" w:eastAsia="zh-CN" w:bidi="ar"/>
              </w:rPr>
              <w:t xml:space="preserve">33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361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浏阳河街道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7.1765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271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8.74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43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314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344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30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374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394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396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月湖街道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2.8692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3.53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48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37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160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捞刀河街道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4.2059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5.12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90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61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174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224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232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沙坪街道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3.0378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3.70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38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161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7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168 </w:t>
            </w:r>
          </w:p>
        </w:tc>
      </w:tr>
      <w:tr>
        <w:tblPrEx>
          <w:tblCellMar>
            <w:top w:w="0" w:type="dxa"/>
            <w:left w:w="0" w:type="dxa"/>
            <w:bottom w:w="0" w:type="dxa"/>
            <w:right w:w="0" w:type="dxa"/>
          </w:tblCellMar>
        </w:tblPrEx>
        <w:trPr>
          <w:trHeight w:val="558"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秀峰街道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7.4642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262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9.09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42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304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324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374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30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404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8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412 </w:t>
            </w:r>
          </w:p>
        </w:tc>
      </w:tr>
      <w:tr>
        <w:tblPrEx>
          <w:tblCellMar>
            <w:top w:w="0" w:type="dxa"/>
            <w:left w:w="0" w:type="dxa"/>
            <w:bottom w:w="0" w:type="dxa"/>
            <w:right w:w="0" w:type="dxa"/>
          </w:tblCellMar>
        </w:tblPrEx>
        <w:trPr>
          <w:trHeight w:val="639" w:hRule="exact"/>
        </w:trPr>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青竹湖街道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b/>
                <w:bCs/>
                <w:i w:val="0"/>
                <w:iCs w:val="0"/>
                <w:color w:val="000000"/>
                <w:kern w:val="0"/>
                <w:sz w:val="21"/>
                <w:szCs w:val="21"/>
                <w:u w:val="none"/>
                <w:lang w:val="en-US" w:eastAsia="zh-CN" w:bidi="ar"/>
              </w:rPr>
              <w:t xml:space="preserve">4.0954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60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新宋体" w:hAnsi="新宋体" w:eastAsia="新宋体" w:cs="新宋体"/>
                <w:i w:val="0"/>
                <w:iCs w:val="0"/>
                <w:color w:val="000000"/>
                <w:kern w:val="0"/>
                <w:sz w:val="21"/>
                <w:szCs w:val="21"/>
                <w:u w:val="none"/>
                <w:lang w:val="en-US" w:eastAsia="zh-CN" w:bidi="ar"/>
              </w:rPr>
              <w:t xml:space="preserve">4.99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12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122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50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172 </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45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217 </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9 </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 xml:space="preserve">226 </w:t>
            </w:r>
          </w:p>
        </w:tc>
      </w:tr>
    </w:tbl>
    <w:p>
      <w:pPr>
        <w:pStyle w:val="5"/>
        <w:spacing w:line="220" w:lineRule="exact"/>
        <w:jc w:val="center"/>
        <w:rPr>
          <w:rFonts w:ascii="仿宋_GB2312" w:hAnsi="仿宋_GB2312" w:eastAsia="仿宋_GB2312" w:cs="仿宋_GB2312"/>
          <w:sz w:val="24"/>
          <w:szCs w:val="24"/>
        </w:rPr>
      </w:pPr>
    </w:p>
    <w:p>
      <w:pPr>
        <w:pStyle w:val="5"/>
        <w:spacing w:line="400" w:lineRule="exact"/>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说明：2020年托位基数为2021年初调查上报的托位情况，根据长沙市“十四五”人口发展规划，2025年全市常住人口发展目标为1200万，</w:t>
      </w:r>
      <w:r>
        <w:rPr>
          <w:rFonts w:hint="eastAsia" w:ascii="仿宋_GB2312" w:hAnsi="仿宋_GB2312" w:eastAsia="仿宋_GB2312" w:cs="仿宋_GB2312"/>
          <w:color w:val="000000"/>
          <w:kern w:val="0"/>
          <w:sz w:val="24"/>
          <w:szCs w:val="24"/>
          <w:lang w:eastAsia="zh-CN" w:bidi="ar"/>
        </w:rPr>
        <w:t>开福区发展目标为</w:t>
      </w:r>
      <w:r>
        <w:rPr>
          <w:rFonts w:hint="eastAsia" w:ascii="仿宋_GB2312" w:hAnsi="仿宋_GB2312" w:eastAsia="仿宋_GB2312" w:cs="仿宋_GB2312"/>
          <w:color w:val="000000"/>
          <w:kern w:val="0"/>
          <w:sz w:val="24"/>
          <w:szCs w:val="24"/>
          <w:lang w:val="en-US" w:eastAsia="zh-CN" w:bidi="ar"/>
        </w:rPr>
        <w:t>100万（各街道常住人口占比数按增长比例统一测算），</w:t>
      </w:r>
      <w:r>
        <w:rPr>
          <w:rFonts w:hint="eastAsia" w:ascii="仿宋_GB2312" w:hAnsi="仿宋_GB2312" w:eastAsia="仿宋_GB2312" w:cs="仿宋_GB2312"/>
          <w:color w:val="000000"/>
          <w:kern w:val="0"/>
          <w:sz w:val="24"/>
          <w:szCs w:val="24"/>
          <w:lang w:bidi="ar"/>
        </w:rPr>
        <w:t>按千人口托位数4.53个的要求配建托位，参照省</w:t>
      </w:r>
      <w:r>
        <w:rPr>
          <w:rFonts w:hint="eastAsia" w:ascii="仿宋_GB2312" w:hAnsi="仿宋_GB2312" w:eastAsia="仿宋_GB2312" w:cs="仿宋_GB2312"/>
          <w:color w:val="000000"/>
          <w:kern w:val="0"/>
          <w:sz w:val="24"/>
          <w:szCs w:val="24"/>
          <w:lang w:eastAsia="zh-CN" w:bidi="ar"/>
        </w:rPr>
        <w:t>、市</w:t>
      </w:r>
      <w:r>
        <w:rPr>
          <w:rFonts w:hint="eastAsia" w:ascii="仿宋_GB2312" w:hAnsi="仿宋_GB2312" w:eastAsia="仿宋_GB2312" w:cs="仿宋_GB2312"/>
          <w:color w:val="000000"/>
          <w:kern w:val="0"/>
          <w:sz w:val="24"/>
          <w:szCs w:val="24"/>
          <w:lang w:bidi="ar"/>
        </w:rPr>
        <w:t>级年度任务分解的比例计算出各</w:t>
      </w:r>
      <w:r>
        <w:rPr>
          <w:rFonts w:hint="eastAsia" w:ascii="仿宋_GB2312" w:hAnsi="仿宋_GB2312" w:eastAsia="仿宋_GB2312" w:cs="仿宋_GB2312"/>
          <w:color w:val="000000"/>
          <w:kern w:val="0"/>
          <w:sz w:val="24"/>
          <w:szCs w:val="24"/>
          <w:lang w:eastAsia="zh-CN" w:bidi="ar"/>
        </w:rPr>
        <w:t>街道目标数和</w:t>
      </w:r>
      <w:r>
        <w:rPr>
          <w:rFonts w:hint="eastAsia" w:ascii="仿宋_GB2312" w:hAnsi="仿宋_GB2312" w:eastAsia="仿宋_GB2312" w:cs="仿宋_GB2312"/>
          <w:color w:val="000000"/>
          <w:kern w:val="0"/>
          <w:sz w:val="24"/>
          <w:szCs w:val="24"/>
          <w:lang w:bidi="ar"/>
        </w:rPr>
        <w:t>年度新增托位数</w:t>
      </w:r>
      <w:r>
        <w:rPr>
          <w:rFonts w:hint="eastAsia" w:ascii="仿宋_GB2312" w:hAnsi="仿宋_GB2312" w:eastAsia="仿宋_GB2312" w:cs="仿宋_GB2312"/>
          <w:color w:val="000000"/>
          <w:kern w:val="0"/>
          <w:sz w:val="24"/>
          <w:szCs w:val="24"/>
          <w:lang w:val="en-US" w:eastAsia="zh-CN" w:bidi="ar"/>
        </w:rPr>
        <w:t>，</w:t>
      </w:r>
      <w:r>
        <w:rPr>
          <w:rFonts w:hint="eastAsia" w:ascii="仿宋_GB2312" w:hAnsi="仿宋_GB2312" w:eastAsia="仿宋_GB2312" w:cs="仿宋_GB2312"/>
          <w:color w:val="000000"/>
          <w:kern w:val="0"/>
          <w:sz w:val="24"/>
          <w:szCs w:val="24"/>
          <w:lang w:eastAsia="zh-CN" w:bidi="ar"/>
        </w:rPr>
        <w:t>部分数据存在四舍五入和个别调整。</w:t>
      </w:r>
      <w:bookmarkStart w:id="3" w:name="_GoBack"/>
      <w:bookmarkEnd w:id="3"/>
    </w:p>
    <w:sectPr>
      <w:footerReference r:id="rId7" w:type="default"/>
      <w:footerReference r:id="rId8" w:type="even"/>
      <w:pgSz w:w="16840" w:h="11900" w:orient="landscape"/>
      <w:pgMar w:top="1588" w:right="2098" w:bottom="1588" w:left="2098" w:header="1128" w:footer="118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right"/>
                    </w:pPr>
                    <w:r>
                      <w:rPr>
                        <w:rFonts w:hint="eastAsia"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hint="eastAsia" w:ascii="Times New Roman" w:hAnsi="Times New Roman" w:cs="Times New Roman"/>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hint="eastAsia" w:ascii="Times New Roman" w:hAnsi="Times New Roman" w:cs="Times New Roman"/>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asciiTheme="minorEastAsia" w:hAnsiTheme="minorEastAsia" w:eastAsiaTheme="minorEastAsia"/>
                              <w:sz w:val="24"/>
                              <w:szCs w:val="24"/>
                              <w:lang w:eastAsia="zh-CN"/>
                            </w:rPr>
                            <w:t xml:space="preserve">— </w:t>
                          </w:r>
                          <w:sdt>
                            <w:sdtPr>
                              <w:rPr>
                                <w:rFonts w:asciiTheme="minorEastAsia" w:hAnsiTheme="minorEastAsia" w:eastAsiaTheme="minorEastAsia"/>
                                <w:sz w:val="24"/>
                                <w:szCs w:val="24"/>
                              </w:rPr>
                              <w:id w:val="9500366"/>
                            </w:sdtPr>
                            <w:sdtEndPr>
                              <w:rPr>
                                <w:rFonts w:asciiTheme="minorEastAsia" w:hAnsiTheme="minorEastAsia" w:eastAsiaTheme="minorEastAsia"/>
                                <w:sz w:val="24"/>
                                <w:szCs w:val="24"/>
                              </w:rPr>
                            </w:sdtEndPr>
                            <w:sdtContent>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11</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jc w:val="right"/>
                    </w:pPr>
                    <w:r>
                      <w:rPr>
                        <w:rFonts w:hint="eastAsia" w:asciiTheme="minorEastAsia" w:hAnsiTheme="minorEastAsia" w:eastAsiaTheme="minorEastAsia"/>
                        <w:sz w:val="24"/>
                        <w:szCs w:val="24"/>
                        <w:lang w:eastAsia="zh-CN"/>
                      </w:rPr>
                      <w:t xml:space="preserve">— </w:t>
                    </w:r>
                    <w:sdt>
                      <w:sdtPr>
                        <w:rPr>
                          <w:rFonts w:asciiTheme="minorEastAsia" w:hAnsiTheme="minorEastAsia" w:eastAsiaTheme="minorEastAsia"/>
                          <w:sz w:val="24"/>
                          <w:szCs w:val="24"/>
                        </w:rPr>
                        <w:id w:val="9500366"/>
                      </w:sdtPr>
                      <w:sdtEndPr>
                        <w:rPr>
                          <w:rFonts w:asciiTheme="minorEastAsia" w:hAnsiTheme="minorEastAsia" w:eastAsiaTheme="minorEastAsia"/>
                          <w:sz w:val="24"/>
                          <w:szCs w:val="24"/>
                        </w:rPr>
                      </w:sdtEndPr>
                      <w:sdtContent>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11</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sdtContent>
                    </w:sdt>
                  </w:p>
                </w:txbxContent>
              </v:textbox>
            </v:shape>
          </w:pict>
        </mc:Fallback>
      </mc:AlternateContent>
    </w:r>
  </w:p>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0384"/>
    </w:sdtPr>
    <w:sdtContent>
      <w:p>
        <w:pPr>
          <w:pStyle w:val="6"/>
        </w:pPr>
        <w:r>
          <w:rPr>
            <w:rFonts w:hint="eastAsia" w:asciiTheme="minorEastAsia" w:hAnsiTheme="minorEastAsia" w:eastAsiaTheme="minorEastAsia"/>
            <w:sz w:val="24"/>
            <w:szCs w:val="24"/>
            <w:lang w:eastAsia="zh-CN"/>
          </w:rPr>
          <w:t xml:space="preserve">— </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10</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lang w:eastAsia="zh-C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Y1MzczZjRiODE0NDRjMzI2NTIxNzY3ZDMwNjUifQ=="/>
  </w:docVars>
  <w:rsids>
    <w:rsidRoot w:val="00C2132D"/>
    <w:rsid w:val="00046CA0"/>
    <w:rsid w:val="000D6B8A"/>
    <w:rsid w:val="000D6EC9"/>
    <w:rsid w:val="000F13CE"/>
    <w:rsid w:val="0023702B"/>
    <w:rsid w:val="003E2330"/>
    <w:rsid w:val="004608FA"/>
    <w:rsid w:val="004658DD"/>
    <w:rsid w:val="00497CBD"/>
    <w:rsid w:val="004D0B12"/>
    <w:rsid w:val="004D7E10"/>
    <w:rsid w:val="00500EFE"/>
    <w:rsid w:val="00522EC6"/>
    <w:rsid w:val="005F49EE"/>
    <w:rsid w:val="006F4D7C"/>
    <w:rsid w:val="00836181"/>
    <w:rsid w:val="00A7439E"/>
    <w:rsid w:val="00A847F3"/>
    <w:rsid w:val="00AA2A8A"/>
    <w:rsid w:val="00B937FC"/>
    <w:rsid w:val="00B93961"/>
    <w:rsid w:val="00C02406"/>
    <w:rsid w:val="00C2132D"/>
    <w:rsid w:val="00C30E68"/>
    <w:rsid w:val="00CE7130"/>
    <w:rsid w:val="00DD4206"/>
    <w:rsid w:val="00ED0AD3"/>
    <w:rsid w:val="00EE3151"/>
    <w:rsid w:val="00EF7ED6"/>
    <w:rsid w:val="00F210A3"/>
    <w:rsid w:val="015C14A8"/>
    <w:rsid w:val="01A11117"/>
    <w:rsid w:val="03645466"/>
    <w:rsid w:val="038D29A3"/>
    <w:rsid w:val="03A16B7C"/>
    <w:rsid w:val="0444537D"/>
    <w:rsid w:val="064A77E1"/>
    <w:rsid w:val="07035F04"/>
    <w:rsid w:val="08593D5D"/>
    <w:rsid w:val="088A61B1"/>
    <w:rsid w:val="09092AAB"/>
    <w:rsid w:val="0ABD1DE1"/>
    <w:rsid w:val="0B0A5DE7"/>
    <w:rsid w:val="0CEC1C98"/>
    <w:rsid w:val="0D4C0A39"/>
    <w:rsid w:val="0D7373DB"/>
    <w:rsid w:val="0D797FCD"/>
    <w:rsid w:val="0DFA643E"/>
    <w:rsid w:val="0E647B1C"/>
    <w:rsid w:val="10B451A3"/>
    <w:rsid w:val="10EA16E4"/>
    <w:rsid w:val="12A85BB1"/>
    <w:rsid w:val="12DD2585"/>
    <w:rsid w:val="13D028F2"/>
    <w:rsid w:val="14BE76BF"/>
    <w:rsid w:val="1593243E"/>
    <w:rsid w:val="15D912FF"/>
    <w:rsid w:val="17B70A56"/>
    <w:rsid w:val="186535FF"/>
    <w:rsid w:val="198762F6"/>
    <w:rsid w:val="1C2A7D61"/>
    <w:rsid w:val="1D400F1C"/>
    <w:rsid w:val="1D681CCB"/>
    <w:rsid w:val="1D7D074F"/>
    <w:rsid w:val="1E075729"/>
    <w:rsid w:val="1E78669D"/>
    <w:rsid w:val="1F2B5DEC"/>
    <w:rsid w:val="206E5C5C"/>
    <w:rsid w:val="215238B8"/>
    <w:rsid w:val="2288247A"/>
    <w:rsid w:val="22B727C3"/>
    <w:rsid w:val="22C1322E"/>
    <w:rsid w:val="23152DEF"/>
    <w:rsid w:val="23AF66CD"/>
    <w:rsid w:val="23DA7B95"/>
    <w:rsid w:val="23E9564C"/>
    <w:rsid w:val="25A309B9"/>
    <w:rsid w:val="25FA451E"/>
    <w:rsid w:val="269404CF"/>
    <w:rsid w:val="269E03AF"/>
    <w:rsid w:val="276D77B5"/>
    <w:rsid w:val="28CF147A"/>
    <w:rsid w:val="290E0550"/>
    <w:rsid w:val="296856E7"/>
    <w:rsid w:val="298A5897"/>
    <w:rsid w:val="299568CD"/>
    <w:rsid w:val="2A89616D"/>
    <w:rsid w:val="2B824304"/>
    <w:rsid w:val="2C334BD8"/>
    <w:rsid w:val="2D142303"/>
    <w:rsid w:val="2D263E4A"/>
    <w:rsid w:val="2F961B57"/>
    <w:rsid w:val="2FE10559"/>
    <w:rsid w:val="30B24315"/>
    <w:rsid w:val="31BD0577"/>
    <w:rsid w:val="33244DED"/>
    <w:rsid w:val="345120C1"/>
    <w:rsid w:val="34A75E40"/>
    <w:rsid w:val="34AC520B"/>
    <w:rsid w:val="36673BE2"/>
    <w:rsid w:val="36DD1DBC"/>
    <w:rsid w:val="373873CF"/>
    <w:rsid w:val="38481119"/>
    <w:rsid w:val="384A5AF5"/>
    <w:rsid w:val="394164AE"/>
    <w:rsid w:val="3A310C66"/>
    <w:rsid w:val="3BC62ABB"/>
    <w:rsid w:val="3C302B8A"/>
    <w:rsid w:val="3E374CB6"/>
    <w:rsid w:val="3EA61A7B"/>
    <w:rsid w:val="404B3E9C"/>
    <w:rsid w:val="41827116"/>
    <w:rsid w:val="427D2BD4"/>
    <w:rsid w:val="44EE6DE0"/>
    <w:rsid w:val="45DA4808"/>
    <w:rsid w:val="46B76344"/>
    <w:rsid w:val="46F92FA9"/>
    <w:rsid w:val="472E760B"/>
    <w:rsid w:val="487D4E0F"/>
    <w:rsid w:val="49B605D8"/>
    <w:rsid w:val="4A54394D"/>
    <w:rsid w:val="4C1E64E2"/>
    <w:rsid w:val="4C4165E2"/>
    <w:rsid w:val="4C832D65"/>
    <w:rsid w:val="4CAC181F"/>
    <w:rsid w:val="4EA55AB5"/>
    <w:rsid w:val="4F9D66D8"/>
    <w:rsid w:val="4FAE31CC"/>
    <w:rsid w:val="4FD407C5"/>
    <w:rsid w:val="50DE6624"/>
    <w:rsid w:val="50FA7E43"/>
    <w:rsid w:val="515A3F3F"/>
    <w:rsid w:val="51A67184"/>
    <w:rsid w:val="52EC1F74"/>
    <w:rsid w:val="540C5385"/>
    <w:rsid w:val="544725F2"/>
    <w:rsid w:val="5619148B"/>
    <w:rsid w:val="56515952"/>
    <w:rsid w:val="56A1616C"/>
    <w:rsid w:val="58113F09"/>
    <w:rsid w:val="58360E07"/>
    <w:rsid w:val="59AF3A4D"/>
    <w:rsid w:val="59B153A7"/>
    <w:rsid w:val="59EA7E2A"/>
    <w:rsid w:val="5AE2662B"/>
    <w:rsid w:val="5B266C40"/>
    <w:rsid w:val="5B323837"/>
    <w:rsid w:val="5B510A5B"/>
    <w:rsid w:val="5C421CDA"/>
    <w:rsid w:val="5CA5200E"/>
    <w:rsid w:val="5D6F5686"/>
    <w:rsid w:val="5E01149E"/>
    <w:rsid w:val="5E166DF7"/>
    <w:rsid w:val="5E2A4C99"/>
    <w:rsid w:val="5E7515FB"/>
    <w:rsid w:val="5E7E6D93"/>
    <w:rsid w:val="5F246EF0"/>
    <w:rsid w:val="60907981"/>
    <w:rsid w:val="60CD24CB"/>
    <w:rsid w:val="626A743D"/>
    <w:rsid w:val="6535464F"/>
    <w:rsid w:val="656C203B"/>
    <w:rsid w:val="657642C1"/>
    <w:rsid w:val="658E5D4B"/>
    <w:rsid w:val="65D75966"/>
    <w:rsid w:val="6779083A"/>
    <w:rsid w:val="67C26367"/>
    <w:rsid w:val="67D201DE"/>
    <w:rsid w:val="68533001"/>
    <w:rsid w:val="6BCF1960"/>
    <w:rsid w:val="6C6E6699"/>
    <w:rsid w:val="6C8B0DC7"/>
    <w:rsid w:val="6DAA7AB6"/>
    <w:rsid w:val="6E161CCC"/>
    <w:rsid w:val="6E57341C"/>
    <w:rsid w:val="6E7B4019"/>
    <w:rsid w:val="6EB74327"/>
    <w:rsid w:val="706C7393"/>
    <w:rsid w:val="70934920"/>
    <w:rsid w:val="70BC0FD8"/>
    <w:rsid w:val="71221416"/>
    <w:rsid w:val="778B5F9F"/>
    <w:rsid w:val="7795335F"/>
    <w:rsid w:val="779A6594"/>
    <w:rsid w:val="787C4310"/>
    <w:rsid w:val="792F71B0"/>
    <w:rsid w:val="79D20267"/>
    <w:rsid w:val="7A00131C"/>
    <w:rsid w:val="7B09415C"/>
    <w:rsid w:val="7B653E13"/>
    <w:rsid w:val="7B851F0A"/>
    <w:rsid w:val="7C935F02"/>
    <w:rsid w:val="7D175781"/>
    <w:rsid w:val="7DEE3196"/>
    <w:rsid w:val="7E4123ED"/>
    <w:rsid w:val="7E5072BE"/>
    <w:rsid w:val="7EEC73A7"/>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4">
    <w:name w:val="annotation text"/>
    <w:basedOn w:val="1"/>
    <w:qFormat/>
    <w:uiPriority w:val="0"/>
    <w:pPr>
      <w:jc w:val="left"/>
    </w:pPr>
  </w:style>
  <w:style w:type="paragraph" w:styleId="5">
    <w:name w:val="Body Text"/>
    <w:basedOn w:val="1"/>
    <w:qFormat/>
    <w:uiPriority w:val="0"/>
  </w:style>
  <w:style w:type="paragraph" w:styleId="6">
    <w:name w:val="footer"/>
    <w:basedOn w:val="1"/>
    <w:link w:val="31"/>
    <w:qFormat/>
    <w:uiPriority w:val="99"/>
    <w:pPr>
      <w:tabs>
        <w:tab w:val="center" w:pos="4153"/>
        <w:tab w:val="right" w:pos="8306"/>
      </w:tabs>
      <w:snapToGrid w:val="0"/>
    </w:pPr>
    <w:rPr>
      <w:sz w:val="18"/>
      <w:szCs w:val="18"/>
    </w:rPr>
  </w:style>
  <w:style w:type="paragraph" w:styleId="7">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pPr>
    <w:rPr>
      <w:lang w:eastAsia="zh-CN" w:bidi="ar-SA"/>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ody text|1_"/>
    <w:basedOn w:val="11"/>
    <w:link w:val="13"/>
    <w:qFormat/>
    <w:uiPriority w:val="0"/>
    <w:rPr>
      <w:rFonts w:ascii="宋体" w:hAnsi="宋体" w:eastAsia="宋体" w:cs="宋体"/>
      <w:sz w:val="28"/>
      <w:szCs w:val="28"/>
      <w:u w:val="none"/>
      <w:shd w:val="clear" w:color="auto" w:fill="auto"/>
      <w:lang w:val="zh-TW" w:eastAsia="zh-TW" w:bidi="zh-TW"/>
    </w:rPr>
  </w:style>
  <w:style w:type="paragraph" w:customStyle="1" w:styleId="13">
    <w:name w:val="Body text|1"/>
    <w:basedOn w:val="1"/>
    <w:link w:val="12"/>
    <w:qFormat/>
    <w:uiPriority w:val="0"/>
    <w:pPr>
      <w:spacing w:after="220"/>
      <w:ind w:firstLine="400"/>
    </w:pPr>
    <w:rPr>
      <w:rFonts w:ascii="宋体" w:hAnsi="宋体" w:eastAsia="宋体" w:cs="宋体"/>
      <w:sz w:val="28"/>
      <w:szCs w:val="28"/>
      <w:lang w:val="zh-TW" w:eastAsia="zh-TW" w:bidi="zh-TW"/>
    </w:rPr>
  </w:style>
  <w:style w:type="character" w:customStyle="1" w:styleId="14">
    <w:name w:val="Body text|2_"/>
    <w:basedOn w:val="11"/>
    <w:link w:val="15"/>
    <w:qFormat/>
    <w:uiPriority w:val="0"/>
    <w:rPr>
      <w:sz w:val="32"/>
      <w:szCs w:val="32"/>
      <w:u w:val="none"/>
      <w:shd w:val="clear" w:color="auto" w:fill="auto"/>
      <w:lang w:val="zh-TW" w:eastAsia="zh-TW" w:bidi="zh-TW"/>
    </w:rPr>
  </w:style>
  <w:style w:type="paragraph" w:customStyle="1" w:styleId="15">
    <w:name w:val="Body text|2"/>
    <w:basedOn w:val="1"/>
    <w:link w:val="14"/>
    <w:qFormat/>
    <w:uiPriority w:val="0"/>
    <w:pPr>
      <w:spacing w:after="120" w:line="338" w:lineRule="auto"/>
      <w:ind w:left="1100"/>
    </w:pPr>
    <w:rPr>
      <w:sz w:val="32"/>
      <w:szCs w:val="32"/>
      <w:lang w:val="zh-TW" w:eastAsia="zh-TW" w:bidi="zh-TW"/>
    </w:rPr>
  </w:style>
  <w:style w:type="character" w:customStyle="1" w:styleId="16">
    <w:name w:val="Heading #2|1_"/>
    <w:basedOn w:val="11"/>
    <w:link w:val="17"/>
    <w:qFormat/>
    <w:uiPriority w:val="0"/>
    <w:rPr>
      <w:rFonts w:ascii="宋体" w:hAnsi="宋体" w:eastAsia="宋体" w:cs="宋体"/>
      <w:color w:val="F15F67"/>
      <w:sz w:val="74"/>
      <w:szCs w:val="74"/>
      <w:u w:val="single"/>
      <w:shd w:val="clear" w:color="auto" w:fill="auto"/>
      <w:lang w:val="zh-TW" w:eastAsia="zh-TW" w:bidi="zh-TW"/>
    </w:rPr>
  </w:style>
  <w:style w:type="paragraph" w:customStyle="1" w:styleId="17">
    <w:name w:val="Heading #2|1"/>
    <w:basedOn w:val="1"/>
    <w:link w:val="16"/>
    <w:qFormat/>
    <w:uiPriority w:val="0"/>
    <w:pPr>
      <w:spacing w:after="840"/>
      <w:jc w:val="center"/>
      <w:outlineLvl w:val="1"/>
    </w:pPr>
    <w:rPr>
      <w:rFonts w:ascii="宋体" w:hAnsi="宋体" w:eastAsia="宋体" w:cs="宋体"/>
      <w:color w:val="F15F67"/>
      <w:sz w:val="74"/>
      <w:szCs w:val="74"/>
      <w:u w:val="single"/>
      <w:lang w:val="zh-TW" w:eastAsia="zh-TW" w:bidi="zh-TW"/>
    </w:rPr>
  </w:style>
  <w:style w:type="character" w:customStyle="1" w:styleId="18">
    <w:name w:val="Heading #3|1_"/>
    <w:basedOn w:val="11"/>
    <w:link w:val="19"/>
    <w:qFormat/>
    <w:uiPriority w:val="0"/>
    <w:rPr>
      <w:rFonts w:ascii="宋体" w:hAnsi="宋体" w:eastAsia="宋体" w:cs="宋体"/>
      <w:sz w:val="42"/>
      <w:szCs w:val="42"/>
      <w:u w:val="none"/>
      <w:shd w:val="clear" w:color="auto" w:fill="auto"/>
      <w:lang w:val="zh-TW" w:eastAsia="zh-TW" w:bidi="zh-TW"/>
    </w:rPr>
  </w:style>
  <w:style w:type="paragraph" w:customStyle="1" w:styleId="19">
    <w:name w:val="Heading #3|1"/>
    <w:basedOn w:val="1"/>
    <w:link w:val="18"/>
    <w:qFormat/>
    <w:uiPriority w:val="0"/>
    <w:pPr>
      <w:spacing w:after="600" w:line="504" w:lineRule="exact"/>
      <w:ind w:firstLine="240"/>
      <w:jc w:val="center"/>
      <w:outlineLvl w:val="2"/>
    </w:pPr>
    <w:rPr>
      <w:rFonts w:ascii="宋体" w:hAnsi="宋体" w:eastAsia="宋体" w:cs="宋体"/>
      <w:sz w:val="42"/>
      <w:szCs w:val="42"/>
      <w:lang w:val="zh-TW" w:eastAsia="zh-TW" w:bidi="zh-TW"/>
    </w:rPr>
  </w:style>
  <w:style w:type="character" w:customStyle="1" w:styleId="20">
    <w:name w:val="Body text|3_"/>
    <w:basedOn w:val="11"/>
    <w:link w:val="21"/>
    <w:qFormat/>
    <w:uiPriority w:val="0"/>
    <w:rPr>
      <w:color w:val="F15F67"/>
      <w:sz w:val="9"/>
      <w:szCs w:val="9"/>
      <w:u w:val="none"/>
      <w:shd w:val="clear" w:color="auto" w:fill="auto"/>
      <w:lang w:val="zh-TW" w:eastAsia="zh-TW" w:bidi="zh-TW"/>
    </w:rPr>
  </w:style>
  <w:style w:type="paragraph" w:customStyle="1" w:styleId="21">
    <w:name w:val="Body text|3"/>
    <w:basedOn w:val="1"/>
    <w:link w:val="20"/>
    <w:qFormat/>
    <w:uiPriority w:val="0"/>
    <w:pPr>
      <w:jc w:val="center"/>
    </w:pPr>
    <w:rPr>
      <w:color w:val="F15F67"/>
      <w:sz w:val="9"/>
      <w:szCs w:val="9"/>
      <w:lang w:val="zh-TW" w:eastAsia="zh-TW" w:bidi="zh-TW"/>
    </w:rPr>
  </w:style>
  <w:style w:type="character" w:customStyle="1" w:styleId="22">
    <w:name w:val="Table caption|1_"/>
    <w:basedOn w:val="11"/>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caption|1"/>
    <w:basedOn w:val="1"/>
    <w:link w:val="22"/>
    <w:qFormat/>
    <w:uiPriority w:val="0"/>
    <w:rPr>
      <w:rFonts w:ascii="宋体" w:hAnsi="宋体" w:eastAsia="宋体" w:cs="宋体"/>
      <w:sz w:val="30"/>
      <w:szCs w:val="30"/>
      <w:lang w:val="zh-TW" w:eastAsia="zh-TW" w:bidi="zh-TW"/>
    </w:rPr>
  </w:style>
  <w:style w:type="character" w:customStyle="1" w:styleId="24">
    <w:name w:val="Other|1_"/>
    <w:basedOn w:val="11"/>
    <w:link w:val="25"/>
    <w:qFormat/>
    <w:uiPriority w:val="0"/>
    <w:rPr>
      <w:rFonts w:ascii="宋体" w:hAnsi="宋体" w:eastAsia="宋体" w:cs="宋体"/>
      <w:sz w:val="28"/>
      <w:szCs w:val="28"/>
      <w:u w:val="none"/>
      <w:shd w:val="clear" w:color="auto" w:fill="auto"/>
      <w:lang w:val="zh-TW" w:eastAsia="zh-TW" w:bidi="zh-TW"/>
    </w:rPr>
  </w:style>
  <w:style w:type="paragraph" w:customStyle="1" w:styleId="25">
    <w:name w:val="Other|1"/>
    <w:basedOn w:val="1"/>
    <w:link w:val="24"/>
    <w:qFormat/>
    <w:uiPriority w:val="0"/>
    <w:pPr>
      <w:spacing w:after="220"/>
      <w:ind w:firstLine="400"/>
    </w:pPr>
    <w:rPr>
      <w:rFonts w:ascii="宋体" w:hAnsi="宋体" w:eastAsia="宋体" w:cs="宋体"/>
      <w:sz w:val="28"/>
      <w:szCs w:val="28"/>
      <w:lang w:val="zh-TW" w:eastAsia="zh-TW" w:bidi="zh-TW"/>
    </w:rPr>
  </w:style>
  <w:style w:type="character" w:customStyle="1" w:styleId="26">
    <w:name w:val="Heading #1|1_"/>
    <w:basedOn w:val="11"/>
    <w:link w:val="27"/>
    <w:qFormat/>
    <w:uiPriority w:val="0"/>
    <w:rPr>
      <w:rFonts w:ascii="宋体" w:hAnsi="宋体" w:eastAsia="宋体" w:cs="宋体"/>
      <w:color w:val="ACAEBB"/>
      <w:sz w:val="146"/>
      <w:szCs w:val="146"/>
      <w:u w:val="none"/>
      <w:shd w:val="clear" w:color="auto" w:fill="auto"/>
      <w:lang w:val="zh-TW" w:eastAsia="zh-TW" w:bidi="zh-TW"/>
    </w:rPr>
  </w:style>
  <w:style w:type="paragraph" w:customStyle="1" w:styleId="27">
    <w:name w:val="Heading #1|1"/>
    <w:basedOn w:val="1"/>
    <w:link w:val="26"/>
    <w:qFormat/>
    <w:uiPriority w:val="0"/>
    <w:pPr>
      <w:spacing w:after="1060"/>
      <w:ind w:firstLine="160"/>
      <w:outlineLvl w:val="0"/>
    </w:pPr>
    <w:rPr>
      <w:rFonts w:ascii="宋体" w:hAnsi="宋体" w:eastAsia="宋体" w:cs="宋体"/>
      <w:color w:val="ACAEBB"/>
      <w:sz w:val="146"/>
      <w:szCs w:val="146"/>
      <w:lang w:val="zh-TW" w:eastAsia="zh-TW" w:bidi="zh-TW"/>
    </w:rPr>
  </w:style>
  <w:style w:type="character" w:customStyle="1" w:styleId="28">
    <w:name w:val="Header or footer|2_"/>
    <w:basedOn w:val="11"/>
    <w:link w:val="29"/>
    <w:qFormat/>
    <w:uiPriority w:val="0"/>
    <w:rPr>
      <w:sz w:val="20"/>
      <w:szCs w:val="20"/>
      <w:u w:val="none"/>
      <w:shd w:val="clear" w:color="auto" w:fill="auto"/>
      <w:lang w:val="zh-TW" w:eastAsia="zh-TW" w:bidi="zh-TW"/>
    </w:rPr>
  </w:style>
  <w:style w:type="paragraph" w:customStyle="1" w:styleId="29">
    <w:name w:val="Header or footer|2"/>
    <w:basedOn w:val="1"/>
    <w:link w:val="28"/>
    <w:qFormat/>
    <w:uiPriority w:val="0"/>
    <w:rPr>
      <w:sz w:val="20"/>
      <w:szCs w:val="20"/>
      <w:lang w:val="zh-TW" w:eastAsia="zh-TW" w:bidi="zh-TW"/>
    </w:rPr>
  </w:style>
  <w:style w:type="character" w:customStyle="1" w:styleId="30">
    <w:name w:val="页眉 Char"/>
    <w:basedOn w:val="11"/>
    <w:link w:val="7"/>
    <w:qFormat/>
    <w:uiPriority w:val="0"/>
    <w:rPr>
      <w:rFonts w:eastAsia="Times New Roman"/>
      <w:color w:val="000000"/>
      <w:sz w:val="18"/>
      <w:szCs w:val="18"/>
      <w:lang w:eastAsia="en-US" w:bidi="en-US"/>
    </w:rPr>
  </w:style>
  <w:style w:type="character" w:customStyle="1" w:styleId="31">
    <w:name w:val="页脚 Char"/>
    <w:basedOn w:val="11"/>
    <w:link w:val="6"/>
    <w:qFormat/>
    <w:uiPriority w:val="99"/>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6177</Words>
  <Characters>6701</Characters>
  <Lines>29</Lines>
  <Paragraphs>8</Paragraphs>
  <TotalTime>37</TotalTime>
  <ScaleCrop>false</ScaleCrop>
  <LinksUpToDate>false</LinksUpToDate>
  <CharactersWithSpaces>6997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2021-09-02T01:33:00Z</dcterms:created>
  <dc:creator>Administrator</dc:creator>
  <cp:lastModifiedBy>小虾米</cp:lastModifiedBy>
  <cp:lastPrinted>2023-08-23T01:24:00Z</cp:lastPrinted>
  <dcterms:modified xsi:type="dcterms:W3CDTF">2023-09-18T06:28:06Z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A6421DB28D9844A59E3BC21BB686F4B5</vt:lpwstr>
  </property>
</Properties>
</file>