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beforeAutospacing="0" w:afterAutospacing="0" w:line="600" w:lineRule="exact"/>
        <w:ind w:firstLine="600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附件：开福区“十三五”经济社会发展主要目标完成情况表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outlineLvl w:val="0"/>
        <w:rPr>
          <w:rFonts w:ascii="Times New Roman" w:hAnsi="Times New Roman" w:eastAsia="楷体_GB2312" w:cs="楷体_GB2312"/>
          <w:sz w:val="30"/>
          <w:szCs w:val="30"/>
        </w:rPr>
      </w:pPr>
      <w:r>
        <w:rPr>
          <w:rFonts w:hint="eastAsia" w:ascii="Times New Roman" w:hAnsi="Times New Roman" w:eastAsia="楷体_GB2312" w:cs="楷体_GB2312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rPr>
          <w:rFonts w:ascii="Times New Roman" w:hAnsi="Times New Roman" w:eastAsia="宋体" w:cs="Times New Roman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宋体" w:cs="Times New Roman"/>
          <w:b/>
          <w:color w:val="000000"/>
          <w:kern w:val="0"/>
          <w:sz w:val="36"/>
          <w:szCs w:val="36"/>
        </w:rPr>
        <w:t>开福区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36"/>
          <w:szCs w:val="36"/>
        </w:rPr>
        <w:t>“</w:t>
      </w:r>
      <w:r>
        <w:rPr>
          <w:rFonts w:ascii="Times New Roman" w:hAnsi="Times New Roman" w:eastAsia="宋体" w:cs="Times New Roman"/>
          <w:b/>
          <w:color w:val="000000"/>
          <w:kern w:val="0"/>
          <w:sz w:val="36"/>
          <w:szCs w:val="36"/>
        </w:rPr>
        <w:t>十三五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36"/>
          <w:szCs w:val="36"/>
        </w:rPr>
        <w:t>”</w:t>
      </w:r>
      <w:r>
        <w:rPr>
          <w:rFonts w:ascii="Times New Roman" w:hAnsi="Times New Roman" w:eastAsia="宋体" w:cs="Times New Roman"/>
          <w:b/>
          <w:color w:val="000000"/>
          <w:kern w:val="0"/>
          <w:sz w:val="36"/>
          <w:szCs w:val="36"/>
        </w:rPr>
        <w:t>经济社会发展主要目标完成情况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36"/>
          <w:szCs w:val="36"/>
        </w:rPr>
        <w:t>表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00" w:lineRule="exac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注：</w:t>
      </w:r>
      <w:r>
        <w:rPr>
          <w:rFonts w:hint="eastAsia" w:ascii="Times New Roman" w:hAnsi="Times New Roman" w:eastAsia="仿宋_GB2312" w:cs="Times New Roman"/>
          <w:kern w:val="0"/>
          <w:sz w:val="24"/>
        </w:rPr>
        <w:t>“</w:t>
      </w:r>
      <w:r>
        <w:rPr>
          <w:rFonts w:ascii="Times New Roman" w:hAnsi="Times New Roman" w:eastAsia="仿宋_GB2312" w:cs="Times New Roman"/>
          <w:kern w:val="0"/>
          <w:sz w:val="24"/>
        </w:rPr>
        <w:t>〔〕</w:t>
      </w:r>
      <w:r>
        <w:rPr>
          <w:rFonts w:hint="eastAsia" w:ascii="Times New Roman" w:hAnsi="Times New Roman" w:eastAsia="仿宋_GB2312" w:cs="Times New Roman"/>
          <w:kern w:val="0"/>
          <w:sz w:val="24"/>
        </w:rPr>
        <w:t>”</w:t>
      </w:r>
      <w:r>
        <w:rPr>
          <w:rFonts w:ascii="Times New Roman" w:hAnsi="Times New Roman" w:eastAsia="仿宋_GB2312" w:cs="Times New Roman"/>
          <w:kern w:val="0"/>
          <w:sz w:val="24"/>
        </w:rPr>
        <w:t>表示5年累计数，下划线加粗为完成难度较大的指标，数据统计截至2018年6月30日</w:t>
      </w:r>
    </w:p>
    <w:tbl>
      <w:tblPr>
        <w:tblStyle w:val="6"/>
        <w:tblW w:w="150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1"/>
        <w:gridCol w:w="2461"/>
        <w:gridCol w:w="1602"/>
        <w:gridCol w:w="1099"/>
        <w:gridCol w:w="1165"/>
        <w:gridCol w:w="1010"/>
        <w:gridCol w:w="968"/>
        <w:gridCol w:w="1039"/>
        <w:gridCol w:w="1223"/>
        <w:gridCol w:w="963"/>
        <w:gridCol w:w="29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Header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大标宋简体" w:cs="方正大标宋简体"/>
                <w:sz w:val="24"/>
              </w:rPr>
            </w:pPr>
            <w:r>
              <w:rPr>
                <w:rFonts w:hint="eastAsia" w:ascii="Times New Roman" w:hAnsi="Times New Roman" w:eastAsia="方正大标宋简体" w:cs="方正大标宋简体"/>
                <w:sz w:val="24"/>
              </w:rPr>
              <w:t>序号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大标宋简体" w:cs="方正大标宋简体"/>
                <w:sz w:val="24"/>
              </w:rPr>
            </w:pPr>
            <w:r>
              <w:rPr>
                <w:rFonts w:hint="eastAsia" w:ascii="Times New Roman" w:hAnsi="Times New Roman" w:eastAsia="方正大标宋简体" w:cs="方正大标宋简体"/>
                <w:sz w:val="24"/>
              </w:rPr>
              <w:t>指    标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大标宋简体" w:cs="方正大标宋简体"/>
                <w:sz w:val="24"/>
              </w:rPr>
            </w:pPr>
            <w:r>
              <w:rPr>
                <w:rFonts w:hint="eastAsia" w:ascii="Times New Roman" w:hAnsi="Times New Roman" w:eastAsia="方正大标宋简体" w:cs="方正大标宋简体"/>
                <w:sz w:val="24"/>
              </w:rPr>
              <w:t>单位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大标宋简体" w:cs="方正大标宋简体"/>
                <w:sz w:val="24"/>
              </w:rPr>
            </w:pPr>
            <w:r>
              <w:rPr>
                <w:rFonts w:ascii="Times New Roman" w:hAnsi="Times New Roman" w:eastAsia="方正大标宋简体" w:cs="方正大标宋简体"/>
                <w:sz w:val="24"/>
              </w:rPr>
              <w:t>2015</w:t>
            </w:r>
            <w:r>
              <w:rPr>
                <w:rFonts w:hint="eastAsia" w:ascii="Times New Roman" w:hAnsi="Times New Roman" w:eastAsia="方正大标宋简体" w:cs="方正大标宋简体"/>
                <w:sz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大标宋简体" w:cs="方正大标宋简体"/>
                <w:sz w:val="24"/>
              </w:rPr>
            </w:pPr>
            <w:r>
              <w:rPr>
                <w:rFonts w:hint="eastAsia" w:ascii="Times New Roman" w:hAnsi="Times New Roman" w:eastAsia="方正大标宋简体" w:cs="方正大标宋简体"/>
                <w:sz w:val="24"/>
              </w:rPr>
              <w:t>（基数）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大标宋简体" w:cs="方正大标宋简体"/>
                <w:sz w:val="24"/>
              </w:rPr>
            </w:pPr>
            <w:r>
              <w:rPr>
                <w:rFonts w:ascii="Times New Roman" w:hAnsi="Times New Roman" w:eastAsia="方正大标宋简体" w:cs="方正大标宋简体"/>
                <w:sz w:val="24"/>
              </w:rPr>
              <w:t>2020</w:t>
            </w:r>
            <w:r>
              <w:rPr>
                <w:rFonts w:hint="eastAsia" w:ascii="Times New Roman" w:hAnsi="Times New Roman" w:eastAsia="方正大标宋简体" w:cs="方正大标宋简体"/>
                <w:sz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 w:ascii="Times New Roman" w:hAnsi="Times New Roman" w:eastAsia="方正大标宋简体" w:cs="方正大标宋简体"/>
                <w:sz w:val="24"/>
              </w:rPr>
              <w:t>（目标）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 w:ascii="Times New Roman" w:hAnsi="Times New Roman" w:eastAsia="方正大标宋简体" w:cs="方正大标宋简体"/>
                <w:sz w:val="24"/>
              </w:rPr>
              <w:t>指标属性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大标宋简体" w:cs="方正大标宋简体"/>
                <w:sz w:val="24"/>
              </w:rPr>
            </w:pPr>
            <w:r>
              <w:rPr>
                <w:rFonts w:ascii="Times New Roman" w:hAnsi="Times New Roman" w:eastAsia="方正大标宋简体" w:cs="方正大标宋简体"/>
                <w:sz w:val="24"/>
              </w:rPr>
              <w:t>2016</w:t>
            </w:r>
            <w:r>
              <w:rPr>
                <w:rFonts w:hint="eastAsia" w:ascii="Times New Roman" w:hAnsi="Times New Roman" w:eastAsia="方正大标宋简体" w:cs="方正大标宋简体"/>
                <w:sz w:val="24"/>
              </w:rPr>
              <w:t>年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大标宋简体" w:cs="方正大标宋简体"/>
                <w:sz w:val="24"/>
              </w:rPr>
            </w:pPr>
            <w:r>
              <w:rPr>
                <w:rFonts w:ascii="Times New Roman" w:hAnsi="Times New Roman" w:eastAsia="方正大标宋简体" w:cs="方正大标宋简体"/>
                <w:sz w:val="24"/>
              </w:rPr>
              <w:t>2017</w:t>
            </w:r>
            <w:r>
              <w:rPr>
                <w:rFonts w:hint="eastAsia" w:ascii="Times New Roman" w:hAnsi="Times New Roman" w:eastAsia="方正大标宋简体" w:cs="方正大标宋简体"/>
                <w:sz w:val="24"/>
              </w:rPr>
              <w:t>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 w:ascii="Times New Roman" w:hAnsi="Times New Roman" w:eastAsia="方正大标宋简体" w:cs="方正大标宋简体"/>
                <w:sz w:val="24"/>
              </w:rPr>
              <w:t>2016-2017两年年均增长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大标宋简体" w:cs="方正大标宋简体"/>
                <w:sz w:val="24"/>
              </w:rPr>
            </w:pPr>
            <w:r>
              <w:rPr>
                <w:rFonts w:ascii="Times New Roman" w:hAnsi="Times New Roman" w:eastAsia="方正大标宋简体" w:cs="方正大标宋简体"/>
                <w:sz w:val="24"/>
              </w:rPr>
              <w:t>2018</w:t>
            </w:r>
            <w:r>
              <w:rPr>
                <w:rFonts w:hint="eastAsia" w:ascii="Times New Roman" w:hAnsi="Times New Roman" w:eastAsia="方正大标宋简体" w:cs="方正大标宋简体"/>
                <w:sz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大标宋简体" w:cs="方正大标宋简体"/>
                <w:sz w:val="24"/>
              </w:rPr>
            </w:pPr>
            <w:r>
              <w:rPr>
                <w:rFonts w:hint="eastAsia" w:ascii="Times New Roman" w:hAnsi="Times New Roman" w:eastAsia="方正大标宋简体" w:cs="方正大标宋简体"/>
                <w:sz w:val="24"/>
              </w:rPr>
              <w:t>1-6月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大标宋简体" w:cs="方正大标宋简体"/>
                <w:sz w:val="24"/>
              </w:rPr>
            </w:pPr>
            <w:r>
              <w:rPr>
                <w:rFonts w:hint="eastAsia" w:ascii="Times New Roman" w:hAnsi="Times New Roman" w:eastAsia="方正大标宋简体" w:cs="方正大标宋简体"/>
                <w:sz w:val="24"/>
              </w:rPr>
              <w:t>完成情况说明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50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</w:rPr>
              <w:t>一、经济发展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>地区生产总值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总值（亿元）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722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1180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预期性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817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920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99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达到进度要求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年均增长（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1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11.1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9.95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7.9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较进度目标低0.05个百分点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人均地区生产总值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元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116000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170000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预期性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133097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146236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15118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—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达到进度要求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财政总收入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年均增长（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23.2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预期性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12.2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11.6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5.12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较进度目标高0.6个百分点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>固定资产投资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年均增长（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≥12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预期性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15.1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15.5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15.3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12.2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较进度目标高3.3个百分点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>社会消费品零售总额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年均增长（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15.2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预期性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13.2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较进度目标低2个百分点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服务业增加值占</w:t>
            </w:r>
            <w:r>
              <w:rPr>
                <w:rStyle w:val="9"/>
                <w:rFonts w:eastAsia="仿宋_GB2312"/>
                <w:sz w:val="24"/>
                <w:szCs w:val="24"/>
              </w:rPr>
              <w:t>GDP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比重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81.6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预期性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82.9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83.4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83.5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距离目标差1.5个百分点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高新技术产业增加值占</w:t>
            </w:r>
            <w:r>
              <w:rPr>
                <w:rStyle w:val="9"/>
                <w:rFonts w:eastAsia="仿宋_GB2312"/>
                <w:sz w:val="24"/>
                <w:szCs w:val="24"/>
              </w:rPr>
              <w:t>GDP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比重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28.9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预期性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21.7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27.5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距离目标差2.5个百分点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引入省外境内资金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年均增长（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15.3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预期性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15.4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18.5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16.95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18.6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较目标进度高1.95个百分点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>实际利用外资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年均增长（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12.8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预期性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7.1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6.95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9.2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较进度目标低3.05个百分点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50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</w:rPr>
              <w:t>二、社会进步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城镇调查失业率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2.31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≤ 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约束性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2.08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2.06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达到规划目标要求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高中阶段入学率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预期性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完成规划目标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城乡基本养老保险覆盖率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约束性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完成规划目标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城乡基本医疗保险覆盖率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98.7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约束性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完成规划目标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14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人均预期寿命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岁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76.9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预期性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77.45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79.2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—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超过进度要求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>社会安全指数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76.7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约束性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82.8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84.1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—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2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距离目标差15.9个百分点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基层民主参选率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—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≥ 95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约束性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—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≥ 98.3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—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超过规划目标3.3个百分点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0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</w:rPr>
              <w:t>三、生态文明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17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单位地区生产总值能耗五年累计降低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%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楷体简体" w:cs="Times New Roman"/>
                <w:kern w:val="0"/>
                <w:sz w:val="24"/>
                <w:highlight w:val="none"/>
              </w:rPr>
              <w:t>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21.8</w:t>
            </w:r>
            <w:r>
              <w:rPr>
                <w:rFonts w:ascii="Times New Roman" w:hAnsi="Times New Roman" w:eastAsia="方正楷体简体" w:cs="Times New Roman"/>
                <w:kern w:val="0"/>
                <w:sz w:val="24"/>
                <w:highlight w:val="none"/>
              </w:rPr>
              <w:t>〕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达到市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里要求（下降16%）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约束性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47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54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9.01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（两年累计下降）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—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超过进度要求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18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空气质量优良天数比率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%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3.2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约束性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74.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73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.3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8.4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超过进度要求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19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城市细微颗粒物（</w:t>
            </w:r>
            <w:r>
              <w:rPr>
                <w:rStyle w:val="9"/>
                <w:rFonts w:eastAsia="仿宋_GB2312"/>
                <w:sz w:val="24"/>
                <w:szCs w:val="24"/>
                <w:highlight w:val="none"/>
              </w:rPr>
              <w:t>PM2.5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）下降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%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55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达到市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里要求（较2015年下降18%）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约束性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52（标况）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>较2015年下降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5.5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>%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53（标况）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</w:rPr>
              <w:t>较2015年下降3.6%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highlight w:val="none"/>
              </w:rPr>
              <w:t>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49（标况）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距离目标差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6个百分点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城镇污水集中处理达标率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约束性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提前完成规划目标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城市生活垃圾清运率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约束性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提前完成规划目标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left="105" w:leftChars="50" w:right="105" w:rightChars="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  <w:t>城区绿化覆盖率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42.3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</w:rPr>
              <w:t>预期性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43.7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42.8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—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距离目标差7.2个百分点</w:t>
            </w:r>
          </w:p>
        </w:tc>
      </w:tr>
    </w:tbl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/>
    <w:sectPr>
      <w:footerReference r:id="rId4" w:type="default"/>
      <w:pgSz w:w="16838" w:h="11906" w:orient="landscape"/>
      <w:pgMar w:top="1803" w:right="1043" w:bottom="1803" w:left="1043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Lavb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+kye0ZQmwx6zFgXhpv/Yhjnu4jXmbVowKbv6iH&#10;YBwbvT83V46JiPxo0SwWNYYExiYH8auX5wFi+ii9JdlgFHB6pal89zmmY+qUkqs5f6+NKRM0jgyM&#10;Xl81V+XBOYLgxmGNLOJINltpXI8nZWvf7VHYgBvAqMMVpcR8ctjgvCyTAZOxnoxtAL3pkeO81Ivh&#10;wzYhm0IyVzjCngrj6IrM05rl3fjbL1kvP8P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F&#10;ctq9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761C3"/>
    <w:rsid w:val="1267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 w:line="420" w:lineRule="atLeast"/>
      <w:ind w:firstLine="420"/>
      <w:jc w:val="left"/>
    </w:pPr>
    <w:rPr>
      <w:rFonts w:cs="Times New Roman"/>
      <w:kern w:val="0"/>
      <w:sz w:val="24"/>
    </w:r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2019-12-03T09:09:00Z</dcterms:created>
  <dc:creator>chent</dc:creator>
  <cp:lastModifiedBy>chent</cp:lastModifiedBy>
  <dcterms:modified xsi:type="dcterms:W3CDTF">2019-12-03T09:10:08Z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